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ECCF" w14:textId="265B7BAB"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232"/>
        <w:gridCol w:w="2006"/>
        <w:gridCol w:w="2693"/>
      </w:tblGrid>
      <w:tr w:rsidR="00AB30A3" w:rsidRPr="00647193" w14:paraId="60FF37BF" w14:textId="77777777" w:rsidTr="00A0603D">
        <w:trPr>
          <w:trHeight w:val="1732"/>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46E38935" w14:textId="77777777" w:rsidR="00AB30A3" w:rsidRPr="00E46AF0" w:rsidRDefault="002E570E" w:rsidP="002E570E">
            <w:pPr>
              <w:jc w:val="center"/>
              <w:rPr>
                <w:rFonts w:ascii="Garamond" w:hAnsi="Garamond" w:cs="Arial"/>
                <w:b/>
                <w:sz w:val="22"/>
                <w:szCs w:val="22"/>
              </w:rPr>
            </w:pPr>
            <w:r w:rsidRPr="00E46AF0">
              <w:rPr>
                <w:rFonts w:ascii="Garamond" w:hAnsi="Garamond" w:cs="Arial"/>
                <w:b/>
                <w:sz w:val="22"/>
                <w:szCs w:val="22"/>
                <w:lang w:val="es-CO"/>
              </w:rPr>
              <w:t>Compra de combustible</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722DC931" w14:textId="77777777" w:rsidR="00EB793E" w:rsidRDefault="00EB793E" w:rsidP="00DE46C3">
            <w:pPr>
              <w:jc w:val="center"/>
              <w:rPr>
                <w:rFonts w:ascii="Garamond" w:hAnsi="Garamond" w:cs="Arial"/>
                <w:b/>
                <w:noProof/>
                <w:color w:val="000080"/>
                <w:sz w:val="22"/>
                <w:szCs w:val="22"/>
                <w:lang w:val="es-CO"/>
              </w:rPr>
            </w:pPr>
          </w:p>
          <w:p w14:paraId="5012C827" w14:textId="0E05957E" w:rsidR="00E46AF0" w:rsidRDefault="00E46AF0" w:rsidP="00DE46C3">
            <w:pPr>
              <w:jc w:val="center"/>
            </w:pPr>
            <w:r>
              <w:rPr>
                <w:noProof/>
              </w:rPr>
              <w:drawing>
                <wp:inline distT="0" distB="0" distL="0" distR="0" wp14:anchorId="778B1131" wp14:editId="5E06658D">
                  <wp:extent cx="906448" cy="906448"/>
                  <wp:effectExtent l="0" t="0" r="8255" b="8255"/>
                  <wp:docPr id="8" name="Imagen 8" descr="Resultado de imagen para gasolina ilust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sultado de imagen para gasolina ilustración"/>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3305" cy="923305"/>
                          </a:xfrm>
                          <a:prstGeom prst="rect">
                            <a:avLst/>
                          </a:prstGeom>
                          <a:noFill/>
                          <a:ln>
                            <a:noFill/>
                          </a:ln>
                        </pic:spPr>
                      </pic:pic>
                    </a:graphicData>
                  </a:graphic>
                </wp:inline>
              </w:drawing>
            </w:r>
          </w:p>
          <w:p w14:paraId="22137F16" w14:textId="690A6D5F" w:rsidR="00AB30A3" w:rsidRPr="00EB793E" w:rsidRDefault="00AB30A3" w:rsidP="00DE46C3">
            <w:pPr>
              <w:jc w:val="center"/>
              <w:rPr>
                <w:rFonts w:ascii="Garamond" w:hAnsi="Garamond" w:cs="Arial"/>
                <w:sz w:val="22"/>
                <w:szCs w:val="22"/>
              </w:rPr>
            </w:pPr>
          </w:p>
        </w:tc>
      </w:tr>
      <w:tr w:rsidR="0028352F" w:rsidRPr="00647193" w14:paraId="403EAE0B" w14:textId="77777777"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4AA28818" w14:textId="728AA0E3" w:rsidR="00E46AF0" w:rsidRDefault="00A0603D" w:rsidP="00FC7B45">
            <w:pPr>
              <w:jc w:val="both"/>
              <w:rPr>
                <w:rFonts w:ascii="Garamond" w:hAnsi="Garamond" w:cs="Arial"/>
                <w:sz w:val="22"/>
                <w:szCs w:val="22"/>
                <w:lang w:val="es-MX"/>
              </w:rPr>
            </w:pPr>
            <w:r>
              <w:rPr>
                <w:rFonts w:ascii="Garamond" w:hAnsi="Garamond"/>
                <w:b/>
                <w:sz w:val="22"/>
                <w:szCs w:val="22"/>
              </w:rPr>
              <w:t>Justificación</w:t>
            </w:r>
            <w:r w:rsidR="00ED7969">
              <w:rPr>
                <w:rFonts w:ascii="Garamond" w:hAnsi="Garamond"/>
                <w:b/>
                <w:sz w:val="22"/>
                <w:szCs w:val="22"/>
              </w:rPr>
              <w:t xml:space="preserve">: </w:t>
            </w:r>
            <w:r w:rsidR="0028352F" w:rsidRPr="00647193">
              <w:rPr>
                <w:rFonts w:ascii="Garamond" w:hAnsi="Garamond"/>
                <w:sz w:val="22"/>
                <w:szCs w:val="22"/>
              </w:rPr>
              <w:t xml:space="preserve"> </w:t>
            </w:r>
            <w:r w:rsidR="008B0900" w:rsidRPr="00DF07CC">
              <w:rPr>
                <w:rFonts w:ascii="Garamond" w:hAnsi="Garamond" w:cs="Arial"/>
                <w:sz w:val="22"/>
                <w:szCs w:val="22"/>
                <w:lang w:val="es-MX"/>
              </w:rPr>
              <w:t>Para ello la estación de servicio que abastecerá a l</w:t>
            </w:r>
            <w:r w:rsidR="008B0900" w:rsidRPr="00DF07CC">
              <w:rPr>
                <w:rFonts w:ascii="Garamond" w:hAnsi="Garamond" w:cs="Arial"/>
                <w:sz w:val="22"/>
                <w:szCs w:val="22"/>
              </w:rPr>
              <w:t>a Secretarí</w:t>
            </w:r>
            <w:bookmarkStart w:id="0" w:name="_GoBack"/>
            <w:bookmarkEnd w:id="0"/>
            <w:r w:rsidR="008B0900" w:rsidRPr="00DF07CC">
              <w:rPr>
                <w:rFonts w:ascii="Garamond" w:hAnsi="Garamond" w:cs="Arial"/>
                <w:sz w:val="22"/>
                <w:szCs w:val="22"/>
              </w:rPr>
              <w:t>a de Gobierno</w:t>
            </w:r>
            <w:r w:rsidR="008B0900" w:rsidRPr="00DF07CC">
              <w:rPr>
                <w:rFonts w:ascii="Garamond" w:hAnsi="Garamond" w:cs="Arial"/>
                <w:sz w:val="22"/>
                <w:szCs w:val="22"/>
                <w:lang w:val="es-MX"/>
              </w:rPr>
              <w:t xml:space="preserve"> deberá reunir y cumplir con todos los requisitos de ley que sean </w:t>
            </w:r>
            <w:r w:rsidR="008B0900" w:rsidRPr="00DF07CC">
              <w:rPr>
                <w:rFonts w:ascii="Garamond" w:hAnsi="Garamond" w:cs="Arial"/>
                <w:sz w:val="22"/>
                <w:szCs w:val="22"/>
              </w:rPr>
              <w:t>necesarios para el ejercicio de la actividad, así como los permisos y autorizaciones de la autoridad ambiental</w:t>
            </w:r>
            <w:r w:rsidR="008B0900" w:rsidRPr="00DF07CC">
              <w:rPr>
                <w:rFonts w:ascii="Garamond" w:hAnsi="Garamond" w:cs="Arial"/>
                <w:sz w:val="22"/>
                <w:szCs w:val="22"/>
                <w:lang w:val="es-MX"/>
              </w:rPr>
              <w:t xml:space="preserve"> para que sea un combustible ecológico como </w:t>
            </w:r>
            <w:proofErr w:type="spellStart"/>
            <w:r w:rsidR="008B0900" w:rsidRPr="00DF07CC">
              <w:rPr>
                <w:rFonts w:ascii="Garamond" w:hAnsi="Garamond" w:cs="Arial"/>
                <w:sz w:val="22"/>
                <w:szCs w:val="22"/>
                <w:lang w:val="es-MX"/>
              </w:rPr>
              <w:t>Biogasolina</w:t>
            </w:r>
            <w:proofErr w:type="spellEnd"/>
            <w:r w:rsidR="008B0900" w:rsidRPr="00DF07CC">
              <w:rPr>
                <w:rFonts w:ascii="Garamond" w:hAnsi="Garamond" w:cs="Arial"/>
                <w:sz w:val="22"/>
                <w:szCs w:val="22"/>
                <w:lang w:val="es-MX"/>
              </w:rPr>
              <w:t xml:space="preserve"> y Biodiesel y así contribuir al mejoramiento de la calidad del aire en nuestra ciudad.</w:t>
            </w:r>
          </w:p>
          <w:p w14:paraId="3A0A828A" w14:textId="273A3C86" w:rsidR="00E46AF0" w:rsidRPr="00647193" w:rsidRDefault="00E46AF0" w:rsidP="00FC7B45">
            <w:pPr>
              <w:jc w:val="both"/>
              <w:rPr>
                <w:rFonts w:ascii="Garamond" w:hAnsi="Garamond"/>
                <w:sz w:val="22"/>
                <w:szCs w:val="22"/>
              </w:rPr>
            </w:pPr>
          </w:p>
        </w:tc>
      </w:tr>
      <w:tr w:rsidR="0028352F" w:rsidRPr="00647193" w14:paraId="1CECA777"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A7A188" w14:textId="77777777" w:rsidR="0028352F" w:rsidRPr="00647193" w:rsidRDefault="0028352F" w:rsidP="008F31C9">
            <w:pPr>
              <w:rPr>
                <w:rFonts w:ascii="Garamond" w:hAnsi="Garamond" w:cs="Arial"/>
                <w:sz w:val="22"/>
                <w:szCs w:val="22"/>
              </w:rPr>
            </w:pPr>
          </w:p>
        </w:tc>
      </w:tr>
      <w:tr w:rsidR="0028352F" w:rsidRPr="00647193" w14:paraId="041C11D6"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E13787" w14:textId="77777777" w:rsidR="0028352F" w:rsidRPr="00647193" w:rsidRDefault="0028352F" w:rsidP="008F31C9">
            <w:pPr>
              <w:rPr>
                <w:rFonts w:ascii="Garamond" w:hAnsi="Garamond" w:cs="Arial"/>
                <w:sz w:val="22"/>
                <w:szCs w:val="22"/>
              </w:rPr>
            </w:pPr>
          </w:p>
        </w:tc>
      </w:tr>
      <w:tr w:rsidR="0028352F" w:rsidRPr="00647193" w14:paraId="3E5BA07A"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E4DF69" w14:textId="77777777" w:rsidR="0028352F" w:rsidRPr="00647193" w:rsidRDefault="0028352F" w:rsidP="008F31C9">
            <w:pPr>
              <w:rPr>
                <w:rFonts w:ascii="Garamond" w:hAnsi="Garamond" w:cs="Arial"/>
                <w:sz w:val="22"/>
                <w:szCs w:val="22"/>
              </w:rPr>
            </w:pPr>
          </w:p>
        </w:tc>
      </w:tr>
      <w:tr w:rsidR="0028352F" w:rsidRPr="00647193" w14:paraId="0F3713CE"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284049" w14:textId="77777777" w:rsidR="0028352F" w:rsidRPr="00647193" w:rsidRDefault="0028352F" w:rsidP="008F31C9">
            <w:pPr>
              <w:rPr>
                <w:rFonts w:ascii="Garamond" w:hAnsi="Garamond" w:cs="Arial"/>
                <w:sz w:val="22"/>
                <w:szCs w:val="22"/>
              </w:rPr>
            </w:pPr>
          </w:p>
        </w:tc>
      </w:tr>
      <w:tr w:rsidR="0028352F" w:rsidRPr="00647193" w14:paraId="37FDB955"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FF6CCC" w14:textId="77777777" w:rsidR="0028352F" w:rsidRPr="00647193" w:rsidRDefault="0028352F" w:rsidP="008F31C9">
            <w:pPr>
              <w:rPr>
                <w:rFonts w:ascii="Garamond" w:hAnsi="Garamond" w:cs="Arial"/>
                <w:sz w:val="22"/>
                <w:szCs w:val="22"/>
              </w:rPr>
            </w:pPr>
          </w:p>
        </w:tc>
      </w:tr>
      <w:tr w:rsidR="0028352F" w:rsidRPr="00647193" w14:paraId="0E18C84E"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BBC8F3" w14:textId="77777777" w:rsidR="0028352F" w:rsidRPr="00647193" w:rsidRDefault="0028352F" w:rsidP="008F31C9">
            <w:pPr>
              <w:rPr>
                <w:rFonts w:ascii="Garamond" w:hAnsi="Garamond" w:cs="Arial"/>
                <w:sz w:val="22"/>
                <w:szCs w:val="22"/>
              </w:rPr>
            </w:pPr>
          </w:p>
        </w:tc>
      </w:tr>
      <w:tr w:rsidR="0028352F" w:rsidRPr="00647193" w14:paraId="26A05EB2" w14:textId="77777777" w:rsidTr="000A0960">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C90A63" w14:textId="77777777" w:rsidR="0028352F" w:rsidRPr="00647193" w:rsidRDefault="0028352F" w:rsidP="008F31C9">
            <w:pPr>
              <w:rPr>
                <w:rFonts w:ascii="Garamond" w:hAnsi="Garamond" w:cs="Arial"/>
                <w:sz w:val="22"/>
                <w:szCs w:val="22"/>
              </w:rPr>
            </w:pPr>
          </w:p>
        </w:tc>
      </w:tr>
      <w:tr w:rsidR="0028352F" w:rsidRPr="00647193" w14:paraId="2C1B02D0" w14:textId="77777777" w:rsidTr="000C5D0E">
        <w:trPr>
          <w:trHeight w:val="70"/>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15D8743" w14:textId="6A4BFB4A"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00E46AF0">
              <w:rPr>
                <w:rFonts w:ascii="Garamond" w:hAnsi="Garamond" w:cs="Arial"/>
                <w:b/>
                <w:sz w:val="22"/>
                <w:szCs w:val="22"/>
              </w:rPr>
              <w:t>Y MEDIO DE VERIFICACIÓN</w:t>
            </w:r>
            <w:r w:rsidR="00E46AF0" w:rsidRPr="00184EB1">
              <w:rPr>
                <w:rFonts w:ascii="Garamond" w:hAnsi="Garamond" w:cs="Arial"/>
                <w:b/>
                <w:sz w:val="22"/>
                <w:szCs w:val="22"/>
              </w:rPr>
              <w:t xml:space="preserve"> </w:t>
            </w:r>
            <w:r w:rsidR="00E46AF0" w:rsidRPr="00184EB1">
              <w:rPr>
                <w:rFonts w:ascii="Garamond" w:hAnsi="Garamond" w:cs="Arial"/>
                <w:sz w:val="22"/>
                <w:szCs w:val="22"/>
              </w:rPr>
              <w:t> </w:t>
            </w:r>
          </w:p>
        </w:tc>
      </w:tr>
      <w:tr w:rsidR="0028352F" w:rsidRPr="00647193" w14:paraId="347B2F59" w14:textId="77777777" w:rsidTr="00E46AF0">
        <w:trPr>
          <w:trHeight w:val="802"/>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B7B6DE" w14:textId="4889B92D" w:rsidR="008A673E" w:rsidRDefault="00D20407" w:rsidP="00E46AF0">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456943">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14:paraId="0595B84A" w14:textId="77777777" w:rsidR="00E46AF0" w:rsidRPr="00FD542C" w:rsidRDefault="00E46AF0" w:rsidP="00E46AF0">
            <w:pPr>
              <w:jc w:val="both"/>
              <w:rPr>
                <w:rFonts w:ascii="Garamond" w:hAnsi="Garamond"/>
                <w:sz w:val="12"/>
                <w:szCs w:val="22"/>
              </w:rPr>
            </w:pPr>
          </w:p>
          <w:p w14:paraId="041F0122" w14:textId="6EB09214" w:rsidR="00E46AF0" w:rsidRPr="00E46AF0" w:rsidRDefault="00E46AF0" w:rsidP="00A0603D">
            <w:pPr>
              <w:jc w:val="both"/>
              <w:rPr>
                <w:rFonts w:ascii="Garamond" w:hAnsi="Garamond"/>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tc>
      </w:tr>
      <w:tr w:rsidR="00E46AF0" w:rsidRPr="00647193" w14:paraId="450210BF" w14:textId="73CC3741" w:rsidTr="00E46AF0">
        <w:trPr>
          <w:trHeight w:val="326"/>
        </w:trPr>
        <w:tc>
          <w:tcPr>
            <w:tcW w:w="423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992EFB0" w14:textId="73F5384A" w:rsidR="00E46AF0" w:rsidRPr="00E46AF0" w:rsidRDefault="00E46AF0" w:rsidP="00E46AF0">
            <w:pPr>
              <w:jc w:val="center"/>
              <w:rPr>
                <w:rFonts w:ascii="Garamond" w:hAnsi="Garamond"/>
                <w:b/>
                <w:sz w:val="22"/>
                <w:szCs w:val="22"/>
              </w:rPr>
            </w:pPr>
            <w:r w:rsidRPr="00E46AF0">
              <w:rPr>
                <w:rFonts w:ascii="Garamond" w:hAnsi="Garamond"/>
                <w:b/>
                <w:sz w:val="22"/>
                <w:szCs w:val="22"/>
              </w:rPr>
              <w:t>Especificaciones técnicas</w:t>
            </w:r>
          </w:p>
        </w:tc>
        <w:tc>
          <w:tcPr>
            <w:tcW w:w="469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C70B2BE" w14:textId="279B0FE5" w:rsidR="00E46AF0" w:rsidRPr="00D20407" w:rsidRDefault="00E46AF0" w:rsidP="00E46AF0">
            <w:pPr>
              <w:tabs>
                <w:tab w:val="left" w:pos="851"/>
              </w:tabs>
              <w:suppressAutoHyphens/>
              <w:ind w:right="72"/>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E46AF0" w:rsidRPr="00647193" w14:paraId="0D2F70E3" w14:textId="1F707554" w:rsidTr="00E46AF0">
        <w:trPr>
          <w:trHeight w:val="873"/>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345861" w14:textId="520A0E3A" w:rsidR="00E46AF0" w:rsidRPr="004B2377" w:rsidRDefault="00E46AF0" w:rsidP="00E46AF0">
            <w:pPr>
              <w:numPr>
                <w:ilvl w:val="0"/>
                <w:numId w:val="28"/>
              </w:numPr>
              <w:tabs>
                <w:tab w:val="left" w:pos="851"/>
              </w:tabs>
              <w:suppressAutoHyphens/>
              <w:ind w:right="72"/>
              <w:jc w:val="both"/>
              <w:rPr>
                <w:rFonts w:ascii="Garamond" w:hAnsi="Garamond"/>
                <w:b/>
                <w:sz w:val="22"/>
                <w:szCs w:val="22"/>
              </w:rPr>
            </w:pPr>
            <w:r w:rsidRPr="00DF07CC">
              <w:rPr>
                <w:rFonts w:ascii="Garamond" w:hAnsi="Garamond" w:cs="Arial"/>
                <w:sz w:val="22"/>
                <w:szCs w:val="22"/>
              </w:rPr>
              <w:t>El contratista deberá anexar la ficha técnica de cada uno de los productos ofrecidos, con la finalidad de determinar la calidad de los combustibles a suministrar.</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51E1FF" w14:textId="5C0C83F0" w:rsidR="00E46AF0" w:rsidRPr="006D793E" w:rsidRDefault="006D793E" w:rsidP="00E46AF0">
            <w:pPr>
              <w:tabs>
                <w:tab w:val="left" w:pos="851"/>
              </w:tabs>
              <w:suppressAutoHyphens/>
              <w:ind w:right="72"/>
              <w:jc w:val="both"/>
              <w:rPr>
                <w:rFonts w:ascii="Garamond" w:hAnsi="Garamond"/>
                <w:sz w:val="22"/>
                <w:szCs w:val="22"/>
              </w:rPr>
            </w:pPr>
            <w:r w:rsidRPr="006D793E">
              <w:rPr>
                <w:rFonts w:ascii="Garamond" w:hAnsi="Garamond"/>
                <w:sz w:val="22"/>
                <w:szCs w:val="22"/>
              </w:rPr>
              <w:t>Ficha técnica del producto.</w:t>
            </w:r>
          </w:p>
        </w:tc>
      </w:tr>
      <w:tr w:rsidR="00E46AF0" w:rsidRPr="00647193" w14:paraId="78A2792E" w14:textId="77777777" w:rsidTr="00E46AF0">
        <w:trPr>
          <w:trHeight w:val="1402"/>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6C184C" w14:textId="7DEDEECB" w:rsidR="003B7850" w:rsidRPr="00DF07CC" w:rsidRDefault="003B7850" w:rsidP="003B7850">
            <w:pPr>
              <w:pStyle w:val="Prrafodelista"/>
              <w:numPr>
                <w:ilvl w:val="0"/>
                <w:numId w:val="28"/>
              </w:numPr>
              <w:jc w:val="both"/>
              <w:rPr>
                <w:rFonts w:ascii="Garamond" w:hAnsi="Garamond" w:cs="Arial"/>
                <w:sz w:val="22"/>
                <w:szCs w:val="22"/>
              </w:rPr>
            </w:pPr>
            <w:r w:rsidRPr="003B7850">
              <w:rPr>
                <w:rFonts w:ascii="Garamond" w:hAnsi="Garamond" w:cs="Arial"/>
                <w:sz w:val="22"/>
                <w:szCs w:val="22"/>
              </w:rPr>
              <w:t xml:space="preserve">El suministro de combustible debe cumplir con la política actual de mezclas de biocombustibles, Resolución 40527 de 2017 para mezcla de alcohol carburante con gasolina motor y la Resolución 40351 de 2017, para mezcla de biocombustible para uso en motores </w:t>
            </w:r>
            <w:proofErr w:type="spellStart"/>
            <w:r w:rsidRPr="003B7850">
              <w:rPr>
                <w:rFonts w:ascii="Garamond" w:hAnsi="Garamond" w:cs="Arial"/>
                <w:sz w:val="22"/>
                <w:szCs w:val="22"/>
              </w:rPr>
              <w:t>diesel</w:t>
            </w:r>
            <w:proofErr w:type="spellEnd"/>
            <w:r w:rsidRPr="003B7850">
              <w:rPr>
                <w:rFonts w:ascii="Garamond" w:hAnsi="Garamond" w:cs="Arial"/>
                <w:sz w:val="22"/>
                <w:szCs w:val="22"/>
              </w:rPr>
              <w:t xml:space="preserve">. </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ECEF3C" w14:textId="7AC1218E" w:rsidR="00E46AF0" w:rsidRPr="004B2377" w:rsidRDefault="006D793E" w:rsidP="00E46AF0">
            <w:pPr>
              <w:tabs>
                <w:tab w:val="left" w:pos="851"/>
              </w:tabs>
              <w:suppressAutoHyphens/>
              <w:ind w:right="72"/>
              <w:jc w:val="both"/>
              <w:rPr>
                <w:rFonts w:ascii="Garamond" w:hAnsi="Garamond"/>
                <w:b/>
                <w:sz w:val="22"/>
                <w:szCs w:val="22"/>
              </w:rPr>
            </w:pPr>
            <w:r w:rsidRPr="006D793E">
              <w:rPr>
                <w:rFonts w:ascii="Garamond" w:hAnsi="Garamond"/>
                <w:sz w:val="22"/>
                <w:szCs w:val="22"/>
              </w:rPr>
              <w:t>Ficha técnica del producto.</w:t>
            </w:r>
          </w:p>
        </w:tc>
      </w:tr>
      <w:tr w:rsidR="00E46AF0" w:rsidRPr="00647193" w14:paraId="701B5D67" w14:textId="77777777" w:rsidTr="00E46AF0">
        <w:trPr>
          <w:trHeight w:val="1164"/>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BE3ECE" w14:textId="556FAA5A" w:rsidR="00E46AF0" w:rsidRPr="005A0A45" w:rsidRDefault="00E46AF0" w:rsidP="00E46AF0">
            <w:pPr>
              <w:numPr>
                <w:ilvl w:val="0"/>
                <w:numId w:val="28"/>
              </w:numPr>
              <w:tabs>
                <w:tab w:val="left" w:pos="851"/>
              </w:tabs>
              <w:suppressAutoHyphens/>
              <w:ind w:right="72"/>
              <w:jc w:val="both"/>
              <w:rPr>
                <w:rFonts w:ascii="Garamond" w:hAnsi="Garamond" w:cs="Arial"/>
                <w:sz w:val="22"/>
                <w:szCs w:val="22"/>
              </w:rPr>
            </w:pPr>
            <w:r w:rsidRPr="008B0900">
              <w:rPr>
                <w:rFonts w:ascii="Garamond" w:hAnsi="Garamond" w:cs="Arial"/>
                <w:sz w:val="22"/>
                <w:szCs w:val="22"/>
                <w:lang w:val="es-CO"/>
              </w:rPr>
              <w:t xml:space="preserve">Presentar </w:t>
            </w:r>
            <w:r w:rsidRPr="008B0900">
              <w:rPr>
                <w:rFonts w:ascii="Garamond" w:hAnsi="Garamond" w:cs="ArialNarrow"/>
                <w:sz w:val="22"/>
                <w:szCs w:val="22"/>
                <w:lang w:val="es-ES"/>
              </w:rPr>
              <w:t xml:space="preserve">registro de monitoreos de Emisión de Partículas al aire (Material </w:t>
            </w:r>
            <w:proofErr w:type="spellStart"/>
            <w:r w:rsidRPr="008B0900">
              <w:rPr>
                <w:rFonts w:ascii="Garamond" w:hAnsi="Garamond" w:cs="ArialNarrow"/>
                <w:sz w:val="22"/>
                <w:szCs w:val="22"/>
                <w:lang w:val="es-ES"/>
              </w:rPr>
              <w:t>Particulado</w:t>
            </w:r>
            <w:proofErr w:type="spellEnd"/>
            <w:r w:rsidRPr="008B0900">
              <w:rPr>
                <w:rFonts w:ascii="Garamond" w:hAnsi="Garamond" w:cs="ArialNarrow"/>
                <w:sz w:val="22"/>
                <w:szCs w:val="22"/>
                <w:lang w:val="es-ES"/>
              </w:rPr>
              <w:t xml:space="preserve"> – MP) y de Compuestos Orgánicos Volátiles – COV o VOC</w:t>
            </w:r>
            <w:r w:rsidR="001B55B5">
              <w:rPr>
                <w:rFonts w:ascii="Garamond" w:hAnsi="Garamond" w:cs="ArialNarrow"/>
                <w:sz w:val="22"/>
                <w:szCs w:val="22"/>
                <w:lang w:val="es-ES"/>
              </w:rPr>
              <w:t xml:space="preserve"> (por sus siglas en inglés)</w:t>
            </w:r>
            <w:r w:rsidRPr="008B0900">
              <w:rPr>
                <w:rFonts w:ascii="Garamond" w:hAnsi="Garamond" w:cs="ArialNarrow"/>
                <w:sz w:val="22"/>
                <w:szCs w:val="22"/>
                <w:lang w:val="es-ES"/>
              </w:rPr>
              <w:t>, en la estación de servicio.</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E7C42CC" w14:textId="643B07D7" w:rsidR="00E46AF0" w:rsidRPr="006D793E" w:rsidRDefault="006E5DB5" w:rsidP="00E46AF0">
            <w:pPr>
              <w:tabs>
                <w:tab w:val="left" w:pos="851"/>
              </w:tabs>
              <w:suppressAutoHyphens/>
              <w:ind w:right="72"/>
              <w:jc w:val="both"/>
              <w:rPr>
                <w:rFonts w:ascii="Garamond" w:hAnsi="Garamond"/>
                <w:sz w:val="22"/>
                <w:szCs w:val="22"/>
              </w:rPr>
            </w:pPr>
            <w:r>
              <w:rPr>
                <w:rFonts w:ascii="Garamond" w:hAnsi="Garamond"/>
                <w:sz w:val="22"/>
                <w:szCs w:val="22"/>
              </w:rPr>
              <w:t>Presentar las mediciones periódicas acorde a las exigidas por la ley en materia de calidad del aire</w:t>
            </w:r>
            <w:r w:rsidR="001B55B5">
              <w:rPr>
                <w:rFonts w:ascii="Garamond" w:hAnsi="Garamond"/>
                <w:sz w:val="22"/>
                <w:szCs w:val="22"/>
              </w:rPr>
              <w:t xml:space="preserve"> para COV en estaciones de servicio, especialmente en el proceso de llenado de los tanques.</w:t>
            </w:r>
          </w:p>
        </w:tc>
      </w:tr>
      <w:tr w:rsidR="00E46AF0" w:rsidRPr="00647193" w14:paraId="52244288" w14:textId="77777777" w:rsidTr="00E46AF0">
        <w:trPr>
          <w:trHeight w:val="926"/>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4154DB" w14:textId="2F870933" w:rsidR="00E46AF0" w:rsidRPr="008B0900" w:rsidRDefault="00E46AF0" w:rsidP="00E46AF0">
            <w:pPr>
              <w:numPr>
                <w:ilvl w:val="0"/>
                <w:numId w:val="28"/>
              </w:numPr>
              <w:tabs>
                <w:tab w:val="left" w:pos="851"/>
              </w:tabs>
              <w:suppressAutoHyphens/>
              <w:ind w:right="72"/>
              <w:jc w:val="both"/>
              <w:rPr>
                <w:rFonts w:ascii="Garamond" w:hAnsi="Garamond" w:cs="Arial"/>
                <w:sz w:val="22"/>
                <w:szCs w:val="22"/>
                <w:lang w:val="es-CO"/>
              </w:rPr>
            </w:pPr>
            <w:r w:rsidRPr="006262C5">
              <w:rPr>
                <w:rFonts w:ascii="Garamond" w:hAnsi="Garamond" w:cs="ArialNarrow"/>
                <w:sz w:val="22"/>
                <w:szCs w:val="22"/>
                <w:lang w:val="es-ES"/>
              </w:rPr>
              <w:t>El contratista deberá contar con las verificaciones metrológicas vigentes realizadas por la Entidad al sistema con el fin de garantizar la medida del suministro.</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61486C" w14:textId="37E732D6" w:rsidR="00E46AF0" w:rsidRPr="006D793E" w:rsidRDefault="006D793E" w:rsidP="00E46AF0">
            <w:pPr>
              <w:tabs>
                <w:tab w:val="left" w:pos="851"/>
              </w:tabs>
              <w:suppressAutoHyphens/>
              <w:ind w:right="72"/>
              <w:jc w:val="both"/>
              <w:rPr>
                <w:rFonts w:ascii="Garamond" w:hAnsi="Garamond"/>
                <w:sz w:val="22"/>
                <w:szCs w:val="22"/>
              </w:rPr>
            </w:pPr>
            <w:r w:rsidRPr="006D793E">
              <w:rPr>
                <w:rFonts w:ascii="Garamond" w:hAnsi="Garamond"/>
                <w:sz w:val="22"/>
                <w:szCs w:val="22"/>
              </w:rPr>
              <w:t>Registro de verificaciones atmosféricas</w:t>
            </w:r>
            <w:r w:rsidR="001B55B5">
              <w:rPr>
                <w:rFonts w:ascii="Garamond" w:hAnsi="Garamond"/>
                <w:sz w:val="22"/>
                <w:szCs w:val="22"/>
              </w:rPr>
              <w:t>.</w:t>
            </w:r>
          </w:p>
        </w:tc>
      </w:tr>
      <w:tr w:rsidR="000903D8" w:rsidRPr="00647193" w14:paraId="7F3932F7" w14:textId="77777777" w:rsidTr="00E46AF0">
        <w:trPr>
          <w:trHeight w:val="926"/>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F84211F" w14:textId="13A3DDD8" w:rsidR="000903D8" w:rsidRPr="006262C5" w:rsidRDefault="000903D8" w:rsidP="000903D8">
            <w:pPr>
              <w:numPr>
                <w:ilvl w:val="0"/>
                <w:numId w:val="28"/>
              </w:numPr>
              <w:tabs>
                <w:tab w:val="left" w:pos="851"/>
              </w:tabs>
              <w:suppressAutoHyphens/>
              <w:ind w:right="72"/>
              <w:jc w:val="both"/>
              <w:rPr>
                <w:rFonts w:ascii="Garamond" w:hAnsi="Garamond" w:cs="ArialNarrow"/>
                <w:sz w:val="22"/>
                <w:szCs w:val="22"/>
                <w:lang w:val="es-ES"/>
              </w:rPr>
            </w:pPr>
            <w:r>
              <w:rPr>
                <w:rFonts w:ascii="Garamond" w:hAnsi="Garamond" w:cs="Arial"/>
                <w:sz w:val="22"/>
                <w:szCs w:val="22"/>
                <w:lang w:val="es-CO"/>
              </w:rPr>
              <w:t>P</w:t>
            </w:r>
            <w:r w:rsidRPr="00DF07CC">
              <w:rPr>
                <w:rFonts w:ascii="Garamond" w:hAnsi="Garamond" w:cs="Arial"/>
                <w:sz w:val="22"/>
                <w:szCs w:val="22"/>
                <w:lang w:val="es-CO"/>
              </w:rPr>
              <w:t>resentar el protocolo o plan de manejo de residuos convencionales y peligrosos, determinando como mínimo cómo y a quien se efectúa la disposición y entrega de residuos.</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82625E" w14:textId="77777777" w:rsidR="000903D8" w:rsidRDefault="000903D8" w:rsidP="000903D8">
            <w:pPr>
              <w:jc w:val="both"/>
              <w:rPr>
                <w:rFonts w:ascii="Garamond" w:hAnsi="Garamond"/>
                <w:sz w:val="22"/>
                <w:szCs w:val="22"/>
              </w:rPr>
            </w:pPr>
            <w:r>
              <w:rPr>
                <w:rFonts w:ascii="Garamond" w:hAnsi="Garamond"/>
                <w:sz w:val="22"/>
                <w:szCs w:val="22"/>
              </w:rPr>
              <w:t>Plan de manejo de residuos convencionales y peligrosos avalado por el representante legal de la empresa.</w:t>
            </w:r>
          </w:p>
          <w:p w14:paraId="7AF76060" w14:textId="77777777" w:rsidR="000903D8" w:rsidRPr="006D793E" w:rsidRDefault="000903D8" w:rsidP="000903D8">
            <w:pPr>
              <w:tabs>
                <w:tab w:val="left" w:pos="851"/>
              </w:tabs>
              <w:suppressAutoHyphens/>
              <w:ind w:right="72"/>
              <w:jc w:val="both"/>
              <w:rPr>
                <w:rFonts w:ascii="Garamond" w:hAnsi="Garamond"/>
                <w:sz w:val="22"/>
                <w:szCs w:val="22"/>
              </w:rPr>
            </w:pPr>
          </w:p>
        </w:tc>
      </w:tr>
      <w:tr w:rsidR="000903D8" w:rsidRPr="00647193" w14:paraId="0F793857" w14:textId="77777777" w:rsidTr="00E46AF0">
        <w:trPr>
          <w:trHeight w:val="1252"/>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EFAFA9" w14:textId="2E1DC1D7" w:rsidR="000903D8" w:rsidRPr="00E46AF0" w:rsidRDefault="000903D8" w:rsidP="000903D8">
            <w:pPr>
              <w:numPr>
                <w:ilvl w:val="0"/>
                <w:numId w:val="28"/>
              </w:numPr>
              <w:jc w:val="both"/>
              <w:rPr>
                <w:rFonts w:ascii="Garamond" w:hAnsi="Garamond" w:cs="Arial"/>
                <w:sz w:val="22"/>
                <w:szCs w:val="22"/>
              </w:rPr>
            </w:pPr>
            <w:r>
              <w:rPr>
                <w:rFonts w:ascii="Garamond" w:hAnsi="Garamond" w:cs="Arial"/>
                <w:sz w:val="22"/>
                <w:szCs w:val="22"/>
              </w:rPr>
              <w:t>Garantizar que el personal que preste el servicio a su nombre cuenta con la edad mínima para trabajar, así como también no promueve el trabajo infantil, mediante una declaración firmada.</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32A88F" w14:textId="3749588A" w:rsidR="000903D8" w:rsidRPr="004B2377" w:rsidRDefault="000903D8" w:rsidP="000903D8">
            <w:pPr>
              <w:tabs>
                <w:tab w:val="left" w:pos="851"/>
              </w:tabs>
              <w:suppressAutoHyphens/>
              <w:ind w:right="72"/>
              <w:jc w:val="both"/>
              <w:rPr>
                <w:rFonts w:ascii="Garamond" w:hAnsi="Garamond"/>
                <w:b/>
                <w:sz w:val="22"/>
                <w:szCs w:val="22"/>
              </w:rPr>
            </w:pPr>
            <w:r w:rsidRPr="00C90F96">
              <w:rPr>
                <w:rFonts w:ascii="Garamond" w:hAnsi="Garamond"/>
                <w:sz w:val="22"/>
                <w:szCs w:val="22"/>
              </w:rPr>
              <w:t>Declaración juramentada.</w:t>
            </w:r>
          </w:p>
        </w:tc>
      </w:tr>
      <w:tr w:rsidR="000903D8" w:rsidRPr="00647193" w14:paraId="6D53124E" w14:textId="77777777" w:rsidTr="00E46AF0">
        <w:trPr>
          <w:trHeight w:val="626"/>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BF8BD4" w14:textId="14F4F059" w:rsidR="000903D8" w:rsidRPr="00E46AF0" w:rsidRDefault="000903D8" w:rsidP="000903D8">
            <w:pPr>
              <w:numPr>
                <w:ilvl w:val="0"/>
                <w:numId w:val="28"/>
              </w:numPr>
              <w:jc w:val="both"/>
              <w:rPr>
                <w:rFonts w:ascii="Garamond" w:hAnsi="Garamond" w:cs="Arial"/>
                <w:sz w:val="22"/>
                <w:szCs w:val="22"/>
              </w:rPr>
            </w:pPr>
            <w:r>
              <w:rPr>
                <w:rFonts w:ascii="Garamond" w:hAnsi="Garamond" w:cs="Arial"/>
                <w:sz w:val="22"/>
                <w:szCs w:val="22"/>
              </w:rPr>
              <w:t xml:space="preserve"> Garantizar que el personal que presta el servicio se encuentra afiliado al sistema de seguridad social y salud en el trabajo.</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DA26FD" w14:textId="77777777" w:rsidR="000903D8" w:rsidRDefault="000903D8" w:rsidP="000903D8">
            <w:pPr>
              <w:pStyle w:val="Textocomentario"/>
              <w:rPr>
                <w:rFonts w:ascii="Garamond" w:hAnsi="Garamond"/>
                <w:sz w:val="22"/>
                <w:szCs w:val="22"/>
              </w:rPr>
            </w:pPr>
            <w:r>
              <w:rPr>
                <w:rFonts w:ascii="Garamond" w:hAnsi="Garamond"/>
                <w:sz w:val="22"/>
                <w:szCs w:val="22"/>
              </w:rPr>
              <w:t>Declaración juramentada.</w:t>
            </w:r>
          </w:p>
          <w:p w14:paraId="7A641A54" w14:textId="66169814" w:rsidR="000903D8" w:rsidRPr="004B2377" w:rsidRDefault="000903D8" w:rsidP="000903D8">
            <w:pPr>
              <w:tabs>
                <w:tab w:val="left" w:pos="851"/>
              </w:tabs>
              <w:suppressAutoHyphens/>
              <w:ind w:right="72"/>
              <w:jc w:val="both"/>
              <w:rPr>
                <w:rFonts w:ascii="Garamond" w:hAnsi="Garamond"/>
                <w:b/>
                <w:sz w:val="22"/>
                <w:szCs w:val="22"/>
              </w:rPr>
            </w:pPr>
            <w:r>
              <w:rPr>
                <w:rFonts w:ascii="Garamond" w:hAnsi="Garamond"/>
                <w:sz w:val="22"/>
                <w:szCs w:val="22"/>
              </w:rPr>
              <w:t>Pago de prestaciones sociales.</w:t>
            </w:r>
          </w:p>
        </w:tc>
      </w:tr>
      <w:tr w:rsidR="000903D8" w:rsidRPr="00647193" w14:paraId="65FDFA7B" w14:textId="77777777" w:rsidTr="00E46AF0">
        <w:trPr>
          <w:trHeight w:val="1352"/>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580FFB" w14:textId="3AF726CF" w:rsidR="000903D8" w:rsidRDefault="000903D8" w:rsidP="000903D8">
            <w:pPr>
              <w:numPr>
                <w:ilvl w:val="0"/>
                <w:numId w:val="28"/>
              </w:numPr>
              <w:tabs>
                <w:tab w:val="left" w:pos="851"/>
              </w:tabs>
              <w:suppressAutoHyphens/>
              <w:ind w:right="72"/>
              <w:jc w:val="both"/>
              <w:rPr>
                <w:rFonts w:ascii="Garamond" w:hAnsi="Garamond" w:cs="Arial"/>
                <w:sz w:val="22"/>
                <w:szCs w:val="22"/>
              </w:rPr>
            </w:pPr>
            <w:r>
              <w:rPr>
                <w:rFonts w:ascii="Garamond" w:hAnsi="Garamond" w:cs="Arial"/>
                <w:sz w:val="22"/>
                <w:szCs w:val="22"/>
              </w:rPr>
              <w:t>Promover la vinculación dentro de su equipo de trabajo de personas en riesgo de exclusión social, enviando una declaración firmada y con los datos de las personas.</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9EF1E1" w14:textId="77777777" w:rsidR="000903D8" w:rsidRDefault="000903D8" w:rsidP="000903D8">
            <w:pPr>
              <w:jc w:val="both"/>
              <w:rPr>
                <w:rFonts w:ascii="Garamond" w:hAnsi="Garamond"/>
                <w:sz w:val="22"/>
                <w:szCs w:val="22"/>
              </w:rPr>
            </w:pPr>
            <w:r>
              <w:rPr>
                <w:rFonts w:ascii="Garamond" w:hAnsi="Garamond"/>
                <w:sz w:val="22"/>
                <w:szCs w:val="22"/>
              </w:rPr>
              <w:t xml:space="preserve">Acta de compromiso </w:t>
            </w:r>
            <w:r>
              <w:rPr>
                <w:rFonts w:ascii="Garamond" w:hAnsi="Garamond" w:cs="Arial"/>
                <w:sz w:val="22"/>
                <w:szCs w:val="22"/>
                <w:lang w:val="es-CO"/>
              </w:rPr>
              <w:t>avalada por el representante legal de la empresa.</w:t>
            </w:r>
          </w:p>
          <w:p w14:paraId="68C52397" w14:textId="77777777" w:rsidR="000903D8" w:rsidRDefault="000903D8" w:rsidP="000903D8">
            <w:pPr>
              <w:tabs>
                <w:tab w:val="left" w:pos="851"/>
              </w:tabs>
              <w:suppressAutoHyphens/>
              <w:ind w:right="72"/>
              <w:jc w:val="both"/>
              <w:rPr>
                <w:rFonts w:ascii="Garamond" w:hAnsi="Garamond"/>
                <w:sz w:val="22"/>
                <w:szCs w:val="22"/>
              </w:rPr>
            </w:pPr>
            <w:r>
              <w:rPr>
                <w:rFonts w:ascii="Garamond" w:hAnsi="Garamond"/>
                <w:sz w:val="22"/>
                <w:szCs w:val="22"/>
              </w:rPr>
              <w:t>Documentos de vinculación (</w:t>
            </w:r>
            <w:r w:rsidRPr="00EB42F9">
              <w:rPr>
                <w:rFonts w:ascii="Garamond" w:hAnsi="Garamond"/>
                <w:sz w:val="22"/>
                <w:szCs w:val="22"/>
              </w:rPr>
              <w:t>que demuestren contra</w:t>
            </w:r>
            <w:r>
              <w:rPr>
                <w:rFonts w:ascii="Garamond" w:hAnsi="Garamond"/>
                <w:sz w:val="22"/>
                <w:szCs w:val="22"/>
              </w:rPr>
              <w:t xml:space="preserve">tos a madres cabeza de familia, </w:t>
            </w:r>
            <w:r w:rsidRPr="00EB42F9">
              <w:rPr>
                <w:rFonts w:ascii="Garamond" w:hAnsi="Garamond"/>
                <w:sz w:val="22"/>
                <w:szCs w:val="22"/>
              </w:rPr>
              <w:t>personas en estado de vulnerabilidad, entre otros</w:t>
            </w:r>
            <w:r>
              <w:rPr>
                <w:rFonts w:ascii="Garamond" w:hAnsi="Garamond"/>
                <w:sz w:val="22"/>
                <w:szCs w:val="22"/>
              </w:rPr>
              <w:t>).</w:t>
            </w:r>
          </w:p>
          <w:p w14:paraId="136A0993" w14:textId="6B6A517D" w:rsidR="000903D8" w:rsidRPr="004B2377" w:rsidRDefault="000903D8" w:rsidP="000903D8">
            <w:pPr>
              <w:tabs>
                <w:tab w:val="left" w:pos="851"/>
              </w:tabs>
              <w:suppressAutoHyphens/>
              <w:ind w:right="72"/>
              <w:jc w:val="both"/>
              <w:rPr>
                <w:rFonts w:ascii="Garamond" w:hAnsi="Garamond"/>
                <w:b/>
                <w:sz w:val="22"/>
                <w:szCs w:val="22"/>
              </w:rPr>
            </w:pPr>
          </w:p>
        </w:tc>
      </w:tr>
      <w:tr w:rsidR="000903D8" w:rsidRPr="00647193" w14:paraId="57379263" w14:textId="5B6DA66E" w:rsidTr="00E46AF0">
        <w:trPr>
          <w:trHeight w:val="254"/>
        </w:trPr>
        <w:tc>
          <w:tcPr>
            <w:tcW w:w="423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4352E22" w14:textId="54E4B47F" w:rsidR="000903D8" w:rsidRPr="00E46AF0" w:rsidRDefault="000903D8" w:rsidP="000903D8">
            <w:pPr>
              <w:jc w:val="center"/>
              <w:rPr>
                <w:rFonts w:ascii="Garamond" w:hAnsi="Garamond"/>
                <w:sz w:val="22"/>
                <w:szCs w:val="22"/>
              </w:rPr>
            </w:pPr>
            <w:r w:rsidRPr="00647193">
              <w:rPr>
                <w:rFonts w:ascii="Garamond" w:hAnsi="Garamond"/>
                <w:b/>
                <w:sz w:val="22"/>
                <w:szCs w:val="22"/>
              </w:rPr>
              <w:lastRenderedPageBreak/>
              <w:t>Obligaciones espec</w:t>
            </w:r>
            <w:r>
              <w:rPr>
                <w:rFonts w:ascii="Garamond" w:hAnsi="Garamond"/>
                <w:b/>
                <w:sz w:val="22"/>
                <w:szCs w:val="22"/>
              </w:rPr>
              <w:t>í</w:t>
            </w:r>
            <w:r w:rsidRPr="00647193">
              <w:rPr>
                <w:rFonts w:ascii="Garamond" w:hAnsi="Garamond"/>
                <w:b/>
                <w:sz w:val="22"/>
                <w:szCs w:val="22"/>
              </w:rPr>
              <w:t>ficas</w:t>
            </w:r>
          </w:p>
        </w:tc>
        <w:tc>
          <w:tcPr>
            <w:tcW w:w="469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896C179" w14:textId="2D2739E4" w:rsidR="000903D8" w:rsidRPr="00E46AF0" w:rsidRDefault="000903D8" w:rsidP="000903D8">
            <w:pPr>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0903D8" w:rsidRPr="00647193" w14:paraId="1560CFA9" w14:textId="77777777" w:rsidTr="00A0603D">
        <w:trPr>
          <w:trHeight w:val="270"/>
        </w:trPr>
        <w:tc>
          <w:tcPr>
            <w:tcW w:w="423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1C349F" w14:textId="04F9B9B5" w:rsidR="000903D8" w:rsidRDefault="000903D8" w:rsidP="000903D8">
            <w:pPr>
              <w:pStyle w:val="Prrafodelista"/>
              <w:numPr>
                <w:ilvl w:val="0"/>
                <w:numId w:val="31"/>
              </w:numPr>
              <w:jc w:val="both"/>
              <w:rPr>
                <w:rFonts w:ascii="Garamond" w:hAnsi="Garamond"/>
                <w:b/>
                <w:sz w:val="22"/>
                <w:szCs w:val="22"/>
              </w:rPr>
            </w:pPr>
            <w:r w:rsidRPr="00AE567F">
              <w:rPr>
                <w:rFonts w:ascii="Garamond" w:hAnsi="Garamond" w:cs="Arial"/>
                <w:sz w:val="22"/>
                <w:szCs w:val="22"/>
                <w:lang w:val="es-CO"/>
              </w:rPr>
              <w:t>Atender las inspecciones ambientales realizadas por la SDG, permitiendo el recorrido por las instalaciones, realizar entrevistas al personal y obtener registro documental y fotográfico</w:t>
            </w:r>
            <w:r>
              <w:rPr>
                <w:rFonts w:ascii="Garamond" w:hAnsi="Garamond" w:cs="Arial"/>
                <w:sz w:val="22"/>
                <w:szCs w:val="22"/>
                <w:lang w:val="es-CO"/>
              </w:rPr>
              <w:t>.</w:t>
            </w:r>
          </w:p>
        </w:tc>
        <w:tc>
          <w:tcPr>
            <w:tcW w:w="4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1B6E3B" w14:textId="2D673508" w:rsidR="000903D8" w:rsidRPr="00E46AF0" w:rsidRDefault="000903D8" w:rsidP="000903D8">
            <w:pPr>
              <w:jc w:val="both"/>
              <w:rPr>
                <w:rFonts w:ascii="Garamond" w:hAnsi="Garamond"/>
                <w:sz w:val="22"/>
                <w:szCs w:val="22"/>
              </w:rPr>
            </w:pPr>
            <w:r>
              <w:rPr>
                <w:rFonts w:ascii="Garamond" w:hAnsi="Garamond" w:cs="Arial"/>
                <w:sz w:val="22"/>
                <w:szCs w:val="22"/>
                <w:lang w:val="es-CO"/>
              </w:rPr>
              <w:t>Acta de compromiso avalada por el representante legal de la empresa.</w:t>
            </w:r>
          </w:p>
        </w:tc>
      </w:tr>
    </w:tbl>
    <w:p w14:paraId="09F7B71C" w14:textId="77777777" w:rsidR="0028352F" w:rsidRPr="00A0603D" w:rsidRDefault="0028352F" w:rsidP="0028352F">
      <w:pPr>
        <w:rPr>
          <w:rFonts w:ascii="Garamond" w:hAnsi="Garamond"/>
          <w:sz w:val="6"/>
          <w:szCs w:val="22"/>
        </w:rPr>
      </w:pPr>
    </w:p>
    <w:p w14:paraId="2952A278" w14:textId="77777777" w:rsidR="000903D8" w:rsidRDefault="000903D8" w:rsidP="0028352F">
      <w:pPr>
        <w:jc w:val="both"/>
        <w:rPr>
          <w:rFonts w:ascii="Garamond" w:hAnsi="Garamond"/>
          <w:szCs w:val="22"/>
        </w:rPr>
      </w:pPr>
    </w:p>
    <w:p w14:paraId="7F386A29" w14:textId="6DF3495F" w:rsidR="0028352F" w:rsidRPr="00A0603D" w:rsidRDefault="0028352F" w:rsidP="0028352F">
      <w:pPr>
        <w:jc w:val="both"/>
        <w:rPr>
          <w:rFonts w:ascii="Garamond" w:hAnsi="Garamond"/>
          <w:szCs w:val="22"/>
        </w:rPr>
      </w:pPr>
      <w:r w:rsidRPr="00A0603D">
        <w:rPr>
          <w:rFonts w:ascii="Garamond" w:hAnsi="Garamond"/>
          <w:szCs w:val="22"/>
        </w:rPr>
        <w:t>Los criterios establecidos en esta ficha hacen parte del proceso de contratación y son los referentes para la selección de los bienes y/o servicios a contratar; garantizando la minimización de impactos ambientales</w:t>
      </w:r>
      <w:r w:rsidR="00382BD9" w:rsidRPr="00A0603D">
        <w:rPr>
          <w:rFonts w:ascii="Garamond" w:hAnsi="Garamond"/>
          <w:szCs w:val="22"/>
        </w:rPr>
        <w:t xml:space="preserve"> y potenciando los impactos sociales de</w:t>
      </w:r>
      <w:r w:rsidRPr="00A0603D">
        <w:rPr>
          <w:rFonts w:ascii="Garamond" w:hAnsi="Garamond"/>
          <w:szCs w:val="22"/>
        </w:rPr>
        <w:t xml:space="preserve"> la entidad.  </w:t>
      </w:r>
    </w:p>
    <w:p w14:paraId="4172BED1" w14:textId="77777777" w:rsidR="007105F8" w:rsidRPr="00A0603D" w:rsidRDefault="007105F8" w:rsidP="007105F8">
      <w:pPr>
        <w:jc w:val="both"/>
        <w:rPr>
          <w:rFonts w:ascii="Garamond" w:hAnsi="Garamond"/>
          <w:szCs w:val="22"/>
        </w:rPr>
      </w:pPr>
      <w:bookmarkStart w:id="1" w:name="_Hlk509322096"/>
      <w:r w:rsidRPr="00A0603D">
        <w:rPr>
          <w:rFonts w:ascii="Garamond" w:hAnsi="Garamond"/>
          <w:szCs w:val="22"/>
        </w:rPr>
        <w:t>Medios de verificación documental: tales como carta del representante legal (donde prima el principio de la buena fe), certificaciones o descripciones que emite el fabricante o el propio oferente tales como fichas técnicas.</w:t>
      </w:r>
      <w:bookmarkEnd w:id="1"/>
    </w:p>
    <w:p w14:paraId="324DA18E" w14:textId="77777777" w:rsidR="0028352F" w:rsidRDefault="0028352F" w:rsidP="0028352F">
      <w:pPr>
        <w:rPr>
          <w:rFonts w:ascii="Garamond" w:hAnsi="Garamond"/>
          <w:sz w:val="22"/>
          <w:szCs w:val="22"/>
        </w:rPr>
      </w:pPr>
    </w:p>
    <w:p w14:paraId="673B8566" w14:textId="77777777" w:rsidR="00446869" w:rsidRDefault="00446869"/>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850F" w14:textId="77777777" w:rsidR="00512978" w:rsidRDefault="00512978" w:rsidP="00661565">
      <w:r>
        <w:separator/>
      </w:r>
    </w:p>
  </w:endnote>
  <w:endnote w:type="continuationSeparator" w:id="0">
    <w:p w14:paraId="18F5EE1F" w14:textId="77777777" w:rsidR="00512978" w:rsidRDefault="00512978"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EE57" w14:textId="77777777" w:rsidR="00512978" w:rsidRDefault="00512978" w:rsidP="00661565">
      <w:r>
        <w:separator/>
      </w:r>
    </w:p>
  </w:footnote>
  <w:footnote w:type="continuationSeparator" w:id="0">
    <w:p w14:paraId="488852CA" w14:textId="77777777" w:rsidR="00512978" w:rsidRDefault="00512978"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95FB" w14:textId="06C1FC11" w:rsidR="00661565" w:rsidRDefault="00FA6A05">
    <w:pPr>
      <w:pStyle w:val="Encabezado"/>
    </w:pPr>
    <w:r>
      <w:rPr>
        <w:noProof/>
        <w:lang w:val="es-CO" w:eastAsia="es-CO"/>
      </w:rPr>
      <mc:AlternateContent>
        <mc:Choice Requires="wpg">
          <w:drawing>
            <wp:anchor distT="0" distB="0" distL="114300" distR="114300" simplePos="0" relativeHeight="251658240" behindDoc="0" locked="0" layoutInCell="0" allowOverlap="1" wp14:anchorId="37C9A3BF" wp14:editId="50D14146">
              <wp:simplePos x="0" y="0"/>
              <wp:positionH relativeFrom="page">
                <wp:align>center</wp:align>
              </wp:positionH>
              <wp:positionV relativeFrom="topMargin">
                <wp:align>center</wp:align>
              </wp:positionV>
              <wp:extent cx="7364730" cy="787400"/>
              <wp:effectExtent l="9525" t="9525" r="10795"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4D9BABCE"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693854DD" w14:textId="4E24A20D" w:rsidR="00661565" w:rsidRDefault="00182066"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16 V </w:t>
                                </w:r>
                                <w:r w:rsidR="00686568">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F37737">
                                  <w:rPr>
                                    <w:rFonts w:ascii="Garamond" w:hAnsi="Garamond" w:cs="Arial"/>
                                    <w:b/>
                                    <w:color w:val="000080"/>
                                    <w:sz w:val="22"/>
                                    <w:szCs w:val="22"/>
                                    <w:lang w:val="es-CO"/>
                                  </w:rPr>
                                  <w:t xml:space="preserve">Vigencia: </w:t>
                                </w:r>
                                <w:r w:rsidR="00686568">
                                  <w:rPr>
                                    <w:rFonts w:ascii="Garamond" w:hAnsi="Garamond" w:cs="Arial"/>
                                    <w:b/>
                                    <w:color w:val="000080"/>
                                    <w:sz w:val="22"/>
                                    <w:szCs w:val="22"/>
                                    <w:lang w:val="es-CO"/>
                                  </w:rPr>
                                  <w:t>0</w:t>
                                </w:r>
                                <w:r w:rsidR="002D7168">
                                  <w:rPr>
                                    <w:rFonts w:ascii="Garamond" w:hAnsi="Garamond" w:cs="Arial"/>
                                    <w:b/>
                                    <w:color w:val="000080"/>
                                    <w:sz w:val="22"/>
                                    <w:szCs w:val="22"/>
                                    <w:lang w:val="es-CO"/>
                                  </w:rPr>
                                  <w:t>6</w:t>
                                </w:r>
                                <w:r w:rsidRPr="00F37737">
                                  <w:rPr>
                                    <w:rFonts w:ascii="Garamond" w:hAnsi="Garamond" w:cs="Arial"/>
                                    <w:b/>
                                    <w:color w:val="000080"/>
                                    <w:sz w:val="22"/>
                                    <w:szCs w:val="22"/>
                                    <w:lang w:val="es-CO"/>
                                  </w:rPr>
                                  <w:t xml:space="preserve"> de </w:t>
                                </w:r>
                                <w:r w:rsidR="002D7168">
                                  <w:rPr>
                                    <w:rFonts w:ascii="Garamond" w:hAnsi="Garamond" w:cs="Arial"/>
                                    <w:b/>
                                    <w:color w:val="000080"/>
                                    <w:sz w:val="22"/>
                                    <w:szCs w:val="22"/>
                                    <w:lang w:val="es-CO"/>
                                  </w:rPr>
                                  <w:t xml:space="preserve">julio </w:t>
                                </w:r>
                                <w:r w:rsidRPr="00F37737">
                                  <w:rPr>
                                    <w:rFonts w:ascii="Garamond" w:hAnsi="Garamond" w:cs="Arial"/>
                                    <w:b/>
                                    <w:color w:val="000080"/>
                                    <w:sz w:val="22"/>
                                    <w:szCs w:val="22"/>
                                    <w:lang w:val="es-CO"/>
                                  </w:rPr>
                                  <w:t>de 201</w:t>
                                </w:r>
                                <w:r w:rsidR="00686568">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7C9A3BF"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4D9BABCE"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693854DD" w14:textId="4E24A20D" w:rsidR="00661565" w:rsidRDefault="00182066"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16 V </w:t>
                          </w:r>
                          <w:r w:rsidR="00686568">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F37737">
                            <w:rPr>
                              <w:rFonts w:ascii="Garamond" w:hAnsi="Garamond" w:cs="Arial"/>
                              <w:b/>
                              <w:color w:val="000080"/>
                              <w:sz w:val="22"/>
                              <w:szCs w:val="22"/>
                              <w:lang w:val="es-CO"/>
                            </w:rPr>
                            <w:t xml:space="preserve">Vigencia: </w:t>
                          </w:r>
                          <w:r w:rsidR="00686568">
                            <w:rPr>
                              <w:rFonts w:ascii="Garamond" w:hAnsi="Garamond" w:cs="Arial"/>
                              <w:b/>
                              <w:color w:val="000080"/>
                              <w:sz w:val="22"/>
                              <w:szCs w:val="22"/>
                              <w:lang w:val="es-CO"/>
                            </w:rPr>
                            <w:t>0</w:t>
                          </w:r>
                          <w:r w:rsidR="002D7168">
                            <w:rPr>
                              <w:rFonts w:ascii="Garamond" w:hAnsi="Garamond" w:cs="Arial"/>
                              <w:b/>
                              <w:color w:val="000080"/>
                              <w:sz w:val="22"/>
                              <w:szCs w:val="22"/>
                              <w:lang w:val="es-CO"/>
                            </w:rPr>
                            <w:t>6</w:t>
                          </w:r>
                          <w:r w:rsidRPr="00F37737">
                            <w:rPr>
                              <w:rFonts w:ascii="Garamond" w:hAnsi="Garamond" w:cs="Arial"/>
                              <w:b/>
                              <w:color w:val="000080"/>
                              <w:sz w:val="22"/>
                              <w:szCs w:val="22"/>
                              <w:lang w:val="es-CO"/>
                            </w:rPr>
                            <w:t xml:space="preserve"> de </w:t>
                          </w:r>
                          <w:r w:rsidR="002D7168">
                            <w:rPr>
                              <w:rFonts w:ascii="Garamond" w:hAnsi="Garamond" w:cs="Arial"/>
                              <w:b/>
                              <w:color w:val="000080"/>
                              <w:sz w:val="22"/>
                              <w:szCs w:val="22"/>
                              <w:lang w:val="es-CO"/>
                            </w:rPr>
                            <w:t xml:space="preserve">julio </w:t>
                          </w:r>
                          <w:r w:rsidRPr="00F37737">
                            <w:rPr>
                              <w:rFonts w:ascii="Garamond" w:hAnsi="Garamond" w:cs="Arial"/>
                              <w:b/>
                              <w:color w:val="000080"/>
                              <w:sz w:val="22"/>
                              <w:szCs w:val="22"/>
                              <w:lang w:val="es-CO"/>
                            </w:rPr>
                            <w:t>de 201</w:t>
                          </w:r>
                          <w:r w:rsidR="00686568">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A2456E"/>
    <w:multiLevelType w:val="hybridMultilevel"/>
    <w:tmpl w:val="3ACE3D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165BAC"/>
    <w:multiLevelType w:val="hybridMultilevel"/>
    <w:tmpl w:val="DE9A4B74"/>
    <w:lvl w:ilvl="0" w:tplc="09EAB87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DB35B91"/>
    <w:multiLevelType w:val="hybridMultilevel"/>
    <w:tmpl w:val="2BACC6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3EAB5DF4"/>
    <w:multiLevelType w:val="hybridMultilevel"/>
    <w:tmpl w:val="F5BCE5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5" w15:restartNumberingAfterBreak="0">
    <w:nsid w:val="43B944B6"/>
    <w:multiLevelType w:val="hybridMultilevel"/>
    <w:tmpl w:val="27544BDE"/>
    <w:lvl w:ilvl="0" w:tplc="240A0019">
      <w:start w:val="1"/>
      <w:numFmt w:val="lowerLetter"/>
      <w:lvlText w:val="%1."/>
      <w:lvlJc w:val="left"/>
      <w:pPr>
        <w:ind w:left="501" w:hanging="360"/>
      </w:pPr>
      <w:rPr>
        <w:rFonts w:hint="default"/>
      </w:rPr>
    </w:lvl>
    <w:lvl w:ilvl="1" w:tplc="FB081580">
      <w:start w:val="1"/>
      <w:numFmt w:val="decimal"/>
      <w:lvlText w:val="%2."/>
      <w:lvlJc w:val="left"/>
      <w:pPr>
        <w:ind w:left="690" w:hanging="690"/>
      </w:pPr>
      <w:rPr>
        <w:rFonts w:hint="default"/>
      </w:r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6"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36B7BEF"/>
    <w:multiLevelType w:val="hybridMultilevel"/>
    <w:tmpl w:val="A0042D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521AA4"/>
    <w:multiLevelType w:val="hybridMultilevel"/>
    <w:tmpl w:val="F4EE0812"/>
    <w:lvl w:ilvl="0" w:tplc="0C0A000F">
      <w:start w:val="1"/>
      <w:numFmt w:val="decimal"/>
      <w:lvlText w:val="%1."/>
      <w:lvlJc w:val="left"/>
      <w:pPr>
        <w:tabs>
          <w:tab w:val="num" w:pos="720"/>
        </w:tabs>
        <w:ind w:left="720" w:hanging="360"/>
      </w:pPr>
      <w:rPr>
        <w:rFonts w:hint="default"/>
      </w:rPr>
    </w:lvl>
    <w:lvl w:ilvl="1" w:tplc="4DC29324">
      <w:start w:val="1"/>
      <w:numFmt w:val="lowerLetter"/>
      <w:lvlText w:val="%2."/>
      <w:lvlJc w:val="left"/>
      <w:pPr>
        <w:tabs>
          <w:tab w:val="num" w:pos="1440"/>
        </w:tabs>
        <w:ind w:left="1440" w:hanging="360"/>
      </w:pPr>
      <w:rPr>
        <w:rFonts w:hint="default"/>
        <w:b w:val="0"/>
      </w:rPr>
    </w:lvl>
    <w:lvl w:ilvl="2" w:tplc="0C0A000F">
      <w:start w:val="1"/>
      <w:numFmt w:val="decimal"/>
      <w:lvlText w:val="%3."/>
      <w:lvlJc w:val="left"/>
      <w:pPr>
        <w:tabs>
          <w:tab w:val="num" w:pos="360"/>
        </w:tabs>
        <w:ind w:left="36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2"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15:restartNumberingAfterBreak="0">
    <w:nsid w:val="67A87112"/>
    <w:multiLevelType w:val="hybridMultilevel"/>
    <w:tmpl w:val="C428DFEC"/>
    <w:lvl w:ilvl="0" w:tplc="240A000F">
      <w:start w:val="16"/>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9FC3BED"/>
    <w:multiLevelType w:val="hybridMultilevel"/>
    <w:tmpl w:val="02DAB680"/>
    <w:lvl w:ilvl="0" w:tplc="BC441E34">
      <w:start w:val="1"/>
      <w:numFmt w:val="decimal"/>
      <w:lvlText w:val="%1."/>
      <w:lvlJc w:val="left"/>
      <w:pPr>
        <w:tabs>
          <w:tab w:val="num" w:pos="360"/>
        </w:tabs>
        <w:ind w:left="360" w:hanging="360"/>
      </w:pPr>
      <w:rPr>
        <w:b w:val="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1" w15:restartNumberingAfterBreak="0">
    <w:nsid w:val="77AA1118"/>
    <w:multiLevelType w:val="hybridMultilevel"/>
    <w:tmpl w:val="F1B087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8"/>
  </w:num>
  <w:num w:numId="5">
    <w:abstractNumId w:val="17"/>
  </w:num>
  <w:num w:numId="6">
    <w:abstractNumId w:val="25"/>
  </w:num>
  <w:num w:numId="7">
    <w:abstractNumId w:val="1"/>
  </w:num>
  <w:num w:numId="8">
    <w:abstractNumId w:val="19"/>
  </w:num>
  <w:num w:numId="9">
    <w:abstractNumId w:val="5"/>
  </w:num>
  <w:num w:numId="10">
    <w:abstractNumId w:val="1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9"/>
  </w:num>
  <w:num w:numId="16">
    <w:abstractNumId w:val="28"/>
  </w:num>
  <w:num w:numId="17">
    <w:abstractNumId w:val="6"/>
  </w:num>
  <w:num w:numId="18">
    <w:abstractNumId w:val="32"/>
  </w:num>
  <w:num w:numId="19">
    <w:abstractNumId w:val="3"/>
  </w:num>
  <w:num w:numId="20">
    <w:abstractNumId w:val="15"/>
  </w:num>
  <w:num w:numId="21">
    <w:abstractNumId w:val="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1"/>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16620"/>
    <w:rsid w:val="00074E18"/>
    <w:rsid w:val="0007528B"/>
    <w:rsid w:val="00080BFA"/>
    <w:rsid w:val="00082FBE"/>
    <w:rsid w:val="00087059"/>
    <w:rsid w:val="000903D8"/>
    <w:rsid w:val="000A0960"/>
    <w:rsid w:val="000C4477"/>
    <w:rsid w:val="000C5D0E"/>
    <w:rsid w:val="000E7538"/>
    <w:rsid w:val="000F56DE"/>
    <w:rsid w:val="001074C7"/>
    <w:rsid w:val="00123E3B"/>
    <w:rsid w:val="001527F3"/>
    <w:rsid w:val="001576F9"/>
    <w:rsid w:val="00182066"/>
    <w:rsid w:val="001852A0"/>
    <w:rsid w:val="001B55B5"/>
    <w:rsid w:val="001C285D"/>
    <w:rsid w:val="001E24EC"/>
    <w:rsid w:val="001E4CB9"/>
    <w:rsid w:val="001F1AD4"/>
    <w:rsid w:val="001F688B"/>
    <w:rsid w:val="00205E49"/>
    <w:rsid w:val="002124F9"/>
    <w:rsid w:val="00234144"/>
    <w:rsid w:val="00243525"/>
    <w:rsid w:val="00250A21"/>
    <w:rsid w:val="0028352F"/>
    <w:rsid w:val="00286EEE"/>
    <w:rsid w:val="002C6463"/>
    <w:rsid w:val="002D2B14"/>
    <w:rsid w:val="002D7168"/>
    <w:rsid w:val="002E570E"/>
    <w:rsid w:val="00342848"/>
    <w:rsid w:val="00342E3F"/>
    <w:rsid w:val="00346E62"/>
    <w:rsid w:val="00382BD9"/>
    <w:rsid w:val="00385E28"/>
    <w:rsid w:val="0038733C"/>
    <w:rsid w:val="003B7850"/>
    <w:rsid w:val="003B7B96"/>
    <w:rsid w:val="003D3CC6"/>
    <w:rsid w:val="003D7046"/>
    <w:rsid w:val="003E1BE7"/>
    <w:rsid w:val="00404117"/>
    <w:rsid w:val="004139BC"/>
    <w:rsid w:val="00423D1A"/>
    <w:rsid w:val="00430F33"/>
    <w:rsid w:val="004403EB"/>
    <w:rsid w:val="00446869"/>
    <w:rsid w:val="004538BB"/>
    <w:rsid w:val="00456943"/>
    <w:rsid w:val="0047543C"/>
    <w:rsid w:val="00494F9A"/>
    <w:rsid w:val="004952E3"/>
    <w:rsid w:val="004B2377"/>
    <w:rsid w:val="004C501A"/>
    <w:rsid w:val="004D2DAB"/>
    <w:rsid w:val="004D41A9"/>
    <w:rsid w:val="004D5FE3"/>
    <w:rsid w:val="00507B0A"/>
    <w:rsid w:val="00512978"/>
    <w:rsid w:val="00514016"/>
    <w:rsid w:val="00515420"/>
    <w:rsid w:val="00541592"/>
    <w:rsid w:val="00547436"/>
    <w:rsid w:val="00552B6A"/>
    <w:rsid w:val="00567C51"/>
    <w:rsid w:val="0057209D"/>
    <w:rsid w:val="005752B0"/>
    <w:rsid w:val="00582630"/>
    <w:rsid w:val="00583066"/>
    <w:rsid w:val="00584EF2"/>
    <w:rsid w:val="00596DB8"/>
    <w:rsid w:val="005A0A45"/>
    <w:rsid w:val="005B108F"/>
    <w:rsid w:val="005C351A"/>
    <w:rsid w:val="005F57A6"/>
    <w:rsid w:val="006028F9"/>
    <w:rsid w:val="00613DC1"/>
    <w:rsid w:val="00615759"/>
    <w:rsid w:val="00635261"/>
    <w:rsid w:val="00644D65"/>
    <w:rsid w:val="00647193"/>
    <w:rsid w:val="00661565"/>
    <w:rsid w:val="00664130"/>
    <w:rsid w:val="00686568"/>
    <w:rsid w:val="00693CF5"/>
    <w:rsid w:val="006D1C42"/>
    <w:rsid w:val="006D793E"/>
    <w:rsid w:val="006E5DB5"/>
    <w:rsid w:val="007005A1"/>
    <w:rsid w:val="007105F8"/>
    <w:rsid w:val="0072531A"/>
    <w:rsid w:val="007341D6"/>
    <w:rsid w:val="007525E1"/>
    <w:rsid w:val="00753FA2"/>
    <w:rsid w:val="007571ED"/>
    <w:rsid w:val="00761C54"/>
    <w:rsid w:val="00772F54"/>
    <w:rsid w:val="00775C38"/>
    <w:rsid w:val="00787C71"/>
    <w:rsid w:val="007D426C"/>
    <w:rsid w:val="007D6D0A"/>
    <w:rsid w:val="007E2978"/>
    <w:rsid w:val="008053C8"/>
    <w:rsid w:val="00806F80"/>
    <w:rsid w:val="00820539"/>
    <w:rsid w:val="00831BC6"/>
    <w:rsid w:val="00866D7A"/>
    <w:rsid w:val="00877BE8"/>
    <w:rsid w:val="0088468E"/>
    <w:rsid w:val="00884E81"/>
    <w:rsid w:val="008A39BC"/>
    <w:rsid w:val="008A673E"/>
    <w:rsid w:val="008A6DEF"/>
    <w:rsid w:val="008A7FC3"/>
    <w:rsid w:val="008B0900"/>
    <w:rsid w:val="008B09CC"/>
    <w:rsid w:val="008B1396"/>
    <w:rsid w:val="008B3D37"/>
    <w:rsid w:val="008B561B"/>
    <w:rsid w:val="008C7A05"/>
    <w:rsid w:val="008D7349"/>
    <w:rsid w:val="008D7D28"/>
    <w:rsid w:val="008E096E"/>
    <w:rsid w:val="008E4684"/>
    <w:rsid w:val="008F7F80"/>
    <w:rsid w:val="00901B24"/>
    <w:rsid w:val="00902FC2"/>
    <w:rsid w:val="00903279"/>
    <w:rsid w:val="00907525"/>
    <w:rsid w:val="009101A3"/>
    <w:rsid w:val="00933708"/>
    <w:rsid w:val="00970EC0"/>
    <w:rsid w:val="0097335C"/>
    <w:rsid w:val="00976AB3"/>
    <w:rsid w:val="009832A3"/>
    <w:rsid w:val="009952AA"/>
    <w:rsid w:val="009A3E21"/>
    <w:rsid w:val="009C702C"/>
    <w:rsid w:val="009F34FA"/>
    <w:rsid w:val="00A0087D"/>
    <w:rsid w:val="00A0603D"/>
    <w:rsid w:val="00A22A24"/>
    <w:rsid w:val="00A2526E"/>
    <w:rsid w:val="00A34971"/>
    <w:rsid w:val="00A83243"/>
    <w:rsid w:val="00A839A1"/>
    <w:rsid w:val="00A95221"/>
    <w:rsid w:val="00AA5778"/>
    <w:rsid w:val="00AB30A3"/>
    <w:rsid w:val="00AC10D8"/>
    <w:rsid w:val="00AC7928"/>
    <w:rsid w:val="00AE0ED4"/>
    <w:rsid w:val="00AE4EF9"/>
    <w:rsid w:val="00AE567F"/>
    <w:rsid w:val="00AF2F55"/>
    <w:rsid w:val="00AF4D74"/>
    <w:rsid w:val="00B14969"/>
    <w:rsid w:val="00B20816"/>
    <w:rsid w:val="00B20CC5"/>
    <w:rsid w:val="00B50CC3"/>
    <w:rsid w:val="00B62885"/>
    <w:rsid w:val="00B72218"/>
    <w:rsid w:val="00B81941"/>
    <w:rsid w:val="00B91AFE"/>
    <w:rsid w:val="00BA0008"/>
    <w:rsid w:val="00BA4DE8"/>
    <w:rsid w:val="00BA697D"/>
    <w:rsid w:val="00BC4657"/>
    <w:rsid w:val="00BC66B1"/>
    <w:rsid w:val="00BE79FE"/>
    <w:rsid w:val="00C070CE"/>
    <w:rsid w:val="00C10CC6"/>
    <w:rsid w:val="00C12EF6"/>
    <w:rsid w:val="00C15CD7"/>
    <w:rsid w:val="00C20154"/>
    <w:rsid w:val="00C44199"/>
    <w:rsid w:val="00C47DBB"/>
    <w:rsid w:val="00C50ED9"/>
    <w:rsid w:val="00C533DE"/>
    <w:rsid w:val="00C5475E"/>
    <w:rsid w:val="00C618EE"/>
    <w:rsid w:val="00C85691"/>
    <w:rsid w:val="00C97E84"/>
    <w:rsid w:val="00CA20F4"/>
    <w:rsid w:val="00CA6365"/>
    <w:rsid w:val="00CB1FAD"/>
    <w:rsid w:val="00CC0BAD"/>
    <w:rsid w:val="00CF3ABE"/>
    <w:rsid w:val="00D0461F"/>
    <w:rsid w:val="00D149E7"/>
    <w:rsid w:val="00D20407"/>
    <w:rsid w:val="00D5562F"/>
    <w:rsid w:val="00D769B4"/>
    <w:rsid w:val="00DA0876"/>
    <w:rsid w:val="00DD4726"/>
    <w:rsid w:val="00DE46C3"/>
    <w:rsid w:val="00E03F77"/>
    <w:rsid w:val="00E11BAF"/>
    <w:rsid w:val="00E15BF8"/>
    <w:rsid w:val="00E46AF0"/>
    <w:rsid w:val="00E76B96"/>
    <w:rsid w:val="00E80D23"/>
    <w:rsid w:val="00E87677"/>
    <w:rsid w:val="00E92C16"/>
    <w:rsid w:val="00E9717F"/>
    <w:rsid w:val="00EA53D5"/>
    <w:rsid w:val="00EB0826"/>
    <w:rsid w:val="00EB793E"/>
    <w:rsid w:val="00EB7A67"/>
    <w:rsid w:val="00ED7969"/>
    <w:rsid w:val="00EF4B42"/>
    <w:rsid w:val="00F06758"/>
    <w:rsid w:val="00F3040B"/>
    <w:rsid w:val="00F458CB"/>
    <w:rsid w:val="00F61352"/>
    <w:rsid w:val="00F84F81"/>
    <w:rsid w:val="00F87A53"/>
    <w:rsid w:val="00FA6A05"/>
    <w:rsid w:val="00FC7B45"/>
    <w:rsid w:val="00FD7AB5"/>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14CC"/>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E76B96"/>
    <w:pPr>
      <w:spacing w:after="120"/>
    </w:pPr>
  </w:style>
  <w:style w:type="character" w:customStyle="1" w:styleId="TextoindependienteCar">
    <w:name w:val="Texto independiente Car"/>
    <w:basedOn w:val="Fuentedeprrafopredeter"/>
    <w:link w:val="Textoindependiente"/>
    <w:uiPriority w:val="99"/>
    <w:rsid w:val="00E76B96"/>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E87677"/>
    <w:rPr>
      <w:sz w:val="16"/>
      <w:szCs w:val="16"/>
    </w:rPr>
  </w:style>
  <w:style w:type="paragraph" w:styleId="Asuntodelcomentario">
    <w:name w:val="annotation subject"/>
    <w:basedOn w:val="Textocomentario"/>
    <w:next w:val="Textocomentario"/>
    <w:link w:val="AsuntodelcomentarioCar"/>
    <w:uiPriority w:val="99"/>
    <w:semiHidden/>
    <w:unhideWhenUsed/>
    <w:rsid w:val="00E87677"/>
    <w:rPr>
      <w:b/>
      <w:bCs/>
    </w:rPr>
  </w:style>
  <w:style w:type="character" w:customStyle="1" w:styleId="AsuntodelcomentarioCar">
    <w:name w:val="Asunto del comentario Car"/>
    <w:basedOn w:val="TextocomentarioCar"/>
    <w:link w:val="Asuntodelcomentario"/>
    <w:uiPriority w:val="99"/>
    <w:semiHidden/>
    <w:rsid w:val="00E87677"/>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682248729">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897328612">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1389067971">
      <w:bodyDiv w:val="1"/>
      <w:marLeft w:val="0"/>
      <w:marRight w:val="0"/>
      <w:marTop w:val="0"/>
      <w:marBottom w:val="0"/>
      <w:divBdr>
        <w:top w:val="none" w:sz="0" w:space="0" w:color="auto"/>
        <w:left w:val="none" w:sz="0" w:space="0" w:color="auto"/>
        <w:bottom w:val="none" w:sz="0" w:space="0" w:color="auto"/>
        <w:right w:val="none" w:sz="0" w:space="0" w:color="auto"/>
      </w:divBdr>
    </w:div>
    <w:div w:id="1435202045">
      <w:bodyDiv w:val="1"/>
      <w:marLeft w:val="0"/>
      <w:marRight w:val="0"/>
      <w:marTop w:val="0"/>
      <w:marBottom w:val="0"/>
      <w:divBdr>
        <w:top w:val="none" w:sz="0" w:space="0" w:color="auto"/>
        <w:left w:val="none" w:sz="0" w:space="0" w:color="auto"/>
        <w:bottom w:val="none" w:sz="0" w:space="0" w:color="auto"/>
        <w:right w:val="none" w:sz="0" w:space="0" w:color="auto"/>
      </w:divBdr>
    </w:div>
    <w:div w:id="1619527013">
      <w:bodyDiv w:val="1"/>
      <w:marLeft w:val="0"/>
      <w:marRight w:val="0"/>
      <w:marTop w:val="0"/>
      <w:marBottom w:val="0"/>
      <w:divBdr>
        <w:top w:val="none" w:sz="0" w:space="0" w:color="auto"/>
        <w:left w:val="none" w:sz="0" w:space="0" w:color="auto"/>
        <w:bottom w:val="none" w:sz="0" w:space="0" w:color="auto"/>
        <w:right w:val="none" w:sz="0" w:space="0" w:color="auto"/>
      </w:divBdr>
    </w:div>
    <w:div w:id="1672564883">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1C4A82"/>
    <w:rsid w:val="002C6961"/>
    <w:rsid w:val="00374708"/>
    <w:rsid w:val="00445ECF"/>
    <w:rsid w:val="00460A99"/>
    <w:rsid w:val="005C1413"/>
    <w:rsid w:val="005E5040"/>
    <w:rsid w:val="00655A30"/>
    <w:rsid w:val="00775C5B"/>
    <w:rsid w:val="007A2812"/>
    <w:rsid w:val="00835DBB"/>
    <w:rsid w:val="00862786"/>
    <w:rsid w:val="008862D9"/>
    <w:rsid w:val="008C5E27"/>
    <w:rsid w:val="008D2656"/>
    <w:rsid w:val="00965C2B"/>
    <w:rsid w:val="009F465F"/>
    <w:rsid w:val="00A2144D"/>
    <w:rsid w:val="00AB11A3"/>
    <w:rsid w:val="00B927FB"/>
    <w:rsid w:val="00D009E6"/>
    <w:rsid w:val="00D607A5"/>
    <w:rsid w:val="00DC7F34"/>
    <w:rsid w:val="00DE722D"/>
    <w:rsid w:val="00E815F6"/>
    <w:rsid w:val="00EE1A08"/>
    <w:rsid w:val="00EE4669"/>
    <w:rsid w:val="00EF0E60"/>
    <w:rsid w:val="00F41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Ficha – 16 V 3.0 Vigencia: 06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A0672B-EE9B-40F1-8D09-CDBFFDC6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7</cp:revision>
  <dcterms:created xsi:type="dcterms:W3CDTF">2018-04-16T21:10:00Z</dcterms:created>
  <dcterms:modified xsi:type="dcterms:W3CDTF">2018-07-05T20:38:00Z</dcterms:modified>
</cp:coreProperties>
</file>