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11CD" w14:textId="77777777"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125"/>
        <w:gridCol w:w="2113"/>
        <w:gridCol w:w="2693"/>
      </w:tblGrid>
      <w:tr w:rsidR="00AB30A3" w:rsidRPr="00647193" w14:paraId="21F87D60" w14:textId="77777777" w:rsidTr="00323716">
        <w:trPr>
          <w:trHeight w:val="1165"/>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13D6C8AE" w14:textId="77777777" w:rsidR="00A34971" w:rsidRPr="00F6085D" w:rsidRDefault="00A34971" w:rsidP="00323716">
            <w:pPr>
              <w:jc w:val="center"/>
              <w:rPr>
                <w:rFonts w:ascii="Garamond" w:hAnsi="Garamond" w:cs="Arial"/>
                <w:b/>
                <w:sz w:val="22"/>
                <w:szCs w:val="22"/>
                <w:lang w:val="es-CO"/>
              </w:rPr>
            </w:pPr>
            <w:r w:rsidRPr="00F6085D">
              <w:rPr>
                <w:rFonts w:ascii="Garamond" w:hAnsi="Garamond" w:cs="Arial"/>
                <w:b/>
                <w:sz w:val="22"/>
                <w:szCs w:val="22"/>
                <w:lang w:val="es-CO"/>
              </w:rPr>
              <w:t>Mantenimiento preventivo y correctivo de equipos de computo</w:t>
            </w:r>
          </w:p>
          <w:p w14:paraId="0A08A183" w14:textId="68876960" w:rsidR="00AB30A3" w:rsidRPr="00F6085D" w:rsidRDefault="005C351A" w:rsidP="00F6085D">
            <w:pPr>
              <w:jc w:val="center"/>
              <w:rPr>
                <w:rFonts w:ascii="Garamond" w:hAnsi="Garamond" w:cs="Arial"/>
                <w:b/>
                <w:sz w:val="22"/>
                <w:szCs w:val="22"/>
                <w:lang w:val="es-CO"/>
              </w:rPr>
            </w:pPr>
            <w:r w:rsidRPr="00F6085D">
              <w:rPr>
                <w:rFonts w:ascii="Garamond" w:hAnsi="Garamond" w:cs="Arial"/>
                <w:b/>
                <w:sz w:val="22"/>
                <w:szCs w:val="22"/>
                <w:lang w:val="es-CO"/>
              </w:rPr>
              <w:t>y</w:t>
            </w:r>
            <w:r w:rsidR="004952E3" w:rsidRPr="00F6085D">
              <w:rPr>
                <w:rFonts w:ascii="Garamond" w:hAnsi="Garamond" w:cs="Arial"/>
                <w:b/>
                <w:sz w:val="22"/>
                <w:szCs w:val="22"/>
                <w:lang w:val="es-CO"/>
              </w:rPr>
              <w:t xml:space="preserve"> Sistema de alimentación ininterrumpida -UPS-</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0828D823" w14:textId="12E4DFFC" w:rsidR="00AB30A3" w:rsidRPr="00323716" w:rsidRDefault="00323716" w:rsidP="00DE46C3">
            <w:pPr>
              <w:jc w:val="center"/>
              <w:rPr>
                <w:rFonts w:ascii="Garamond" w:hAnsi="Garamond" w:cs="Arial"/>
                <w:sz w:val="22"/>
                <w:szCs w:val="22"/>
              </w:rPr>
            </w:pPr>
            <w:r w:rsidRPr="00323716">
              <w:rPr>
                <w:rFonts w:ascii="Garamond" w:hAnsi="Garamond" w:cs="Arial"/>
                <w:b/>
                <w:noProof/>
                <w:color w:val="000080"/>
                <w:sz w:val="22"/>
                <w:szCs w:val="22"/>
                <w:lang w:val="es-CO"/>
              </w:rPr>
              <w:drawing>
                <wp:inline distT="0" distB="0" distL="0" distR="0" wp14:anchorId="73F68ABB" wp14:editId="54351148">
                  <wp:extent cx="914400" cy="914400"/>
                  <wp:effectExtent l="0" t="0" r="0" b="0"/>
                  <wp:docPr id="6" name="Gráfico 6" descr="Equ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ut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tc>
      </w:tr>
      <w:tr w:rsidR="0028352F" w:rsidRPr="00647193" w14:paraId="31B0CA77" w14:textId="77777777" w:rsidTr="00661565">
        <w:trPr>
          <w:trHeight w:val="255"/>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54EE8A5D" w14:textId="77777777" w:rsidR="004952E3" w:rsidRPr="00F43E2C" w:rsidRDefault="00ED7969" w:rsidP="004952E3">
            <w:pPr>
              <w:pStyle w:val="Textoindependiente2"/>
              <w:tabs>
                <w:tab w:val="left" w:pos="284"/>
              </w:tabs>
              <w:spacing w:line="240" w:lineRule="auto"/>
              <w:jc w:val="both"/>
              <w:rPr>
                <w:rFonts w:ascii="Garamond" w:hAnsi="Garamond" w:cs="Arial"/>
                <w:snapToGrid w:val="0"/>
                <w:color w:val="000000" w:themeColor="text1"/>
                <w:sz w:val="22"/>
                <w:szCs w:val="22"/>
              </w:rPr>
            </w:pPr>
            <w:r>
              <w:rPr>
                <w:rFonts w:ascii="Garamond" w:hAnsi="Garamond"/>
                <w:b/>
                <w:sz w:val="22"/>
                <w:szCs w:val="22"/>
              </w:rPr>
              <w:t xml:space="preserve">Justificación: </w:t>
            </w:r>
            <w:r w:rsidR="0028352F" w:rsidRPr="00647193">
              <w:rPr>
                <w:rFonts w:ascii="Garamond" w:hAnsi="Garamond"/>
                <w:sz w:val="22"/>
                <w:szCs w:val="22"/>
              </w:rPr>
              <w:t xml:space="preserve"> </w:t>
            </w:r>
            <w:r w:rsidR="004952E3" w:rsidRPr="00DF07CC">
              <w:rPr>
                <w:rFonts w:ascii="Garamond" w:hAnsi="Garamond" w:cs="Arial"/>
                <w:snapToGrid w:val="0"/>
                <w:sz w:val="22"/>
                <w:szCs w:val="22"/>
              </w:rPr>
              <w:t xml:space="preserve">El mantenimiento preventivo y correctivo de equipos </w:t>
            </w:r>
            <w:bookmarkStart w:id="0" w:name="_GoBack"/>
            <w:bookmarkEnd w:id="0"/>
            <w:r w:rsidR="004952E3" w:rsidRPr="00F43E2C">
              <w:rPr>
                <w:rFonts w:ascii="Garamond" w:hAnsi="Garamond" w:cs="Arial"/>
                <w:snapToGrid w:val="0"/>
                <w:color w:val="000000" w:themeColor="text1"/>
                <w:sz w:val="22"/>
                <w:szCs w:val="22"/>
              </w:rPr>
              <w:t>eléctricos y electrónicos pertenecientes a la Secretaría de Gobierno D.C, es primordial para el funcionamiento de estos, puesto que el uso continuo y el desgaste de los elementos internos sin un correcto mantenimiento, puede causar el daño irreparable de estos equipos</w:t>
            </w:r>
            <w:r w:rsidR="004B0C6D">
              <w:rPr>
                <w:rFonts w:ascii="Garamond" w:hAnsi="Garamond" w:cs="Arial"/>
                <w:snapToGrid w:val="0"/>
                <w:color w:val="000000" w:themeColor="text1"/>
                <w:sz w:val="22"/>
                <w:szCs w:val="22"/>
              </w:rPr>
              <w:t>, de manera que se ocasione</w:t>
            </w:r>
            <w:r w:rsidR="004952E3" w:rsidRPr="00F43E2C">
              <w:rPr>
                <w:rFonts w:ascii="Garamond" w:hAnsi="Garamond" w:cs="Arial"/>
                <w:snapToGrid w:val="0"/>
                <w:color w:val="000000" w:themeColor="text1"/>
                <w:sz w:val="22"/>
                <w:szCs w:val="22"/>
              </w:rPr>
              <w:t xml:space="preserve"> con ello un detrimento patrimonial a la Entidad. </w:t>
            </w:r>
          </w:p>
          <w:p w14:paraId="5E3EFE5B" w14:textId="77777777" w:rsidR="00584EF2" w:rsidRPr="00647193" w:rsidRDefault="004952E3" w:rsidP="005D232C">
            <w:pPr>
              <w:jc w:val="both"/>
              <w:rPr>
                <w:rFonts w:ascii="Garamond" w:hAnsi="Garamond"/>
                <w:sz w:val="22"/>
                <w:szCs w:val="22"/>
              </w:rPr>
            </w:pPr>
            <w:r w:rsidRPr="00F43E2C">
              <w:rPr>
                <w:rFonts w:ascii="Garamond" w:hAnsi="Garamond" w:cs="Arial"/>
                <w:snapToGrid w:val="0"/>
                <w:color w:val="000000" w:themeColor="text1"/>
                <w:sz w:val="22"/>
                <w:szCs w:val="22"/>
              </w:rPr>
              <w:t xml:space="preserve">Es necesario </w:t>
            </w:r>
            <w:r w:rsidR="00185241" w:rsidRPr="00F43E2C">
              <w:rPr>
                <w:rFonts w:ascii="Garamond" w:hAnsi="Garamond" w:cs="Arial"/>
                <w:snapToGrid w:val="0"/>
                <w:color w:val="000000" w:themeColor="text1"/>
                <w:sz w:val="22"/>
                <w:szCs w:val="22"/>
              </w:rPr>
              <w:t>det</w:t>
            </w:r>
            <w:r w:rsidR="00185241">
              <w:rPr>
                <w:rFonts w:ascii="Garamond" w:hAnsi="Garamond" w:cs="Arial"/>
                <w:snapToGrid w:val="0"/>
                <w:color w:val="000000" w:themeColor="text1"/>
                <w:sz w:val="22"/>
                <w:szCs w:val="22"/>
              </w:rPr>
              <w:t xml:space="preserve">erminar </w:t>
            </w:r>
            <w:r w:rsidR="00185241" w:rsidRPr="00F43E2C">
              <w:rPr>
                <w:rFonts w:ascii="Garamond" w:hAnsi="Garamond" w:cs="Arial"/>
                <w:snapToGrid w:val="0"/>
                <w:color w:val="000000" w:themeColor="text1"/>
                <w:sz w:val="22"/>
                <w:szCs w:val="22"/>
              </w:rPr>
              <w:t>que</w:t>
            </w:r>
            <w:r w:rsidRPr="00F43E2C">
              <w:rPr>
                <w:rFonts w:ascii="Garamond" w:hAnsi="Garamond" w:cs="Arial"/>
                <w:snapToGrid w:val="0"/>
                <w:color w:val="000000" w:themeColor="text1"/>
                <w:sz w:val="22"/>
                <w:szCs w:val="22"/>
              </w:rPr>
              <w:t xml:space="preserve"> se deben tener en cuenta en el momento de elaborar los términos y estudios previos de esta clase de contratos, al considerar que se usan químicos de limpieza y se disponen residuos </w:t>
            </w:r>
            <w:r w:rsidR="00F43E2C" w:rsidRPr="00F43E2C">
              <w:rPr>
                <w:rFonts w:ascii="Garamond" w:hAnsi="Garamond" w:cs="Arial"/>
                <w:snapToGrid w:val="0"/>
                <w:color w:val="000000" w:themeColor="text1"/>
                <w:sz w:val="22"/>
                <w:szCs w:val="22"/>
              </w:rPr>
              <w:t xml:space="preserve">provenientes de estos elementos </w:t>
            </w:r>
            <w:r w:rsidR="005D232C">
              <w:rPr>
                <w:rFonts w:ascii="Garamond" w:hAnsi="Garamond" w:cs="Arial"/>
                <w:snapToGrid w:val="0"/>
                <w:color w:val="000000" w:themeColor="text1"/>
                <w:sz w:val="22"/>
                <w:szCs w:val="22"/>
              </w:rPr>
              <w:t>catalogados como</w:t>
            </w:r>
            <w:r w:rsidR="00F43E2C" w:rsidRPr="00F43E2C">
              <w:rPr>
                <w:rFonts w:ascii="Garamond" w:hAnsi="Garamond" w:cs="Arial"/>
                <w:snapToGrid w:val="0"/>
                <w:color w:val="000000" w:themeColor="text1"/>
                <w:sz w:val="22"/>
                <w:szCs w:val="22"/>
              </w:rPr>
              <w:t xml:space="preserve"> residuos de aparatos eléctricos y electrónicos</w:t>
            </w:r>
            <w:r w:rsidR="005D232C">
              <w:rPr>
                <w:rFonts w:ascii="Garamond" w:hAnsi="Garamond" w:cs="Arial"/>
                <w:snapToGrid w:val="0"/>
                <w:color w:val="000000" w:themeColor="text1"/>
                <w:sz w:val="22"/>
                <w:szCs w:val="22"/>
              </w:rPr>
              <w:t>.</w:t>
            </w:r>
            <w:r w:rsidR="00F43E2C" w:rsidRPr="00F43E2C">
              <w:rPr>
                <w:rFonts w:ascii="Garamond" w:hAnsi="Garamond" w:cs="Arial"/>
                <w:snapToGrid w:val="0"/>
                <w:color w:val="000000" w:themeColor="text1"/>
                <w:sz w:val="22"/>
                <w:szCs w:val="22"/>
              </w:rPr>
              <w:t xml:space="preserve"> </w:t>
            </w:r>
          </w:p>
        </w:tc>
      </w:tr>
      <w:tr w:rsidR="0028352F" w:rsidRPr="00647193" w14:paraId="42E3286B"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54162A" w14:textId="77777777" w:rsidR="0028352F" w:rsidRPr="00647193" w:rsidRDefault="0028352F" w:rsidP="008F31C9">
            <w:pPr>
              <w:rPr>
                <w:rFonts w:ascii="Garamond" w:hAnsi="Garamond" w:cs="Arial"/>
                <w:sz w:val="22"/>
                <w:szCs w:val="22"/>
              </w:rPr>
            </w:pPr>
          </w:p>
        </w:tc>
      </w:tr>
      <w:tr w:rsidR="0028352F" w:rsidRPr="00647193" w14:paraId="4D42EEBD"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925E93" w14:textId="77777777" w:rsidR="0028352F" w:rsidRPr="00647193" w:rsidRDefault="0028352F" w:rsidP="008F31C9">
            <w:pPr>
              <w:rPr>
                <w:rFonts w:ascii="Garamond" w:hAnsi="Garamond" w:cs="Arial"/>
                <w:sz w:val="22"/>
                <w:szCs w:val="22"/>
              </w:rPr>
            </w:pPr>
          </w:p>
        </w:tc>
      </w:tr>
      <w:tr w:rsidR="0028352F" w:rsidRPr="00647193" w14:paraId="3D1EC04F"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CDB17D" w14:textId="77777777" w:rsidR="0028352F" w:rsidRPr="00647193" w:rsidRDefault="0028352F" w:rsidP="008F31C9">
            <w:pPr>
              <w:rPr>
                <w:rFonts w:ascii="Garamond" w:hAnsi="Garamond" w:cs="Arial"/>
                <w:sz w:val="22"/>
                <w:szCs w:val="22"/>
              </w:rPr>
            </w:pPr>
          </w:p>
        </w:tc>
      </w:tr>
      <w:tr w:rsidR="0028352F" w:rsidRPr="00647193" w14:paraId="0B4410A8"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C45D81" w14:textId="77777777" w:rsidR="0028352F" w:rsidRPr="00647193" w:rsidRDefault="0028352F" w:rsidP="008F31C9">
            <w:pPr>
              <w:rPr>
                <w:rFonts w:ascii="Garamond" w:hAnsi="Garamond" w:cs="Arial"/>
                <w:sz w:val="22"/>
                <w:szCs w:val="22"/>
              </w:rPr>
            </w:pPr>
          </w:p>
        </w:tc>
      </w:tr>
      <w:tr w:rsidR="0028352F" w:rsidRPr="00647193" w14:paraId="20F5AACC"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3FBAFF" w14:textId="77777777" w:rsidR="0028352F" w:rsidRPr="00647193" w:rsidRDefault="0028352F" w:rsidP="008F31C9">
            <w:pPr>
              <w:rPr>
                <w:rFonts w:ascii="Garamond" w:hAnsi="Garamond" w:cs="Arial"/>
                <w:sz w:val="22"/>
                <w:szCs w:val="22"/>
              </w:rPr>
            </w:pPr>
          </w:p>
        </w:tc>
      </w:tr>
      <w:tr w:rsidR="0028352F" w:rsidRPr="00647193" w14:paraId="7B331A86"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A605A4" w14:textId="77777777" w:rsidR="0028352F" w:rsidRPr="00647193" w:rsidRDefault="0028352F" w:rsidP="008F31C9">
            <w:pPr>
              <w:rPr>
                <w:rFonts w:ascii="Garamond" w:hAnsi="Garamond" w:cs="Arial"/>
                <w:sz w:val="22"/>
                <w:szCs w:val="22"/>
              </w:rPr>
            </w:pPr>
          </w:p>
        </w:tc>
      </w:tr>
      <w:tr w:rsidR="0028352F" w:rsidRPr="00647193" w14:paraId="393A6C55"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8D7E7D" w14:textId="77777777" w:rsidR="0028352F" w:rsidRPr="00647193" w:rsidRDefault="0028352F" w:rsidP="008F31C9">
            <w:pPr>
              <w:rPr>
                <w:rFonts w:ascii="Garamond" w:hAnsi="Garamond" w:cs="Arial"/>
                <w:sz w:val="22"/>
                <w:szCs w:val="22"/>
              </w:rPr>
            </w:pPr>
          </w:p>
        </w:tc>
      </w:tr>
      <w:tr w:rsidR="0028352F" w:rsidRPr="00647193" w14:paraId="657DA110" w14:textId="77777777"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15ADA83" w14:textId="08C67D63"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w:t>
            </w:r>
            <w:r w:rsidR="00D27CB9">
              <w:rPr>
                <w:rFonts w:ascii="Garamond" w:hAnsi="Garamond" w:cs="Arial"/>
                <w:b/>
                <w:sz w:val="22"/>
                <w:szCs w:val="22"/>
              </w:rPr>
              <w:t xml:space="preserve"> Y MEDIO DE VERIFICACIÓN</w:t>
            </w:r>
            <w:r w:rsidR="00D27CB9" w:rsidRPr="00184EB1">
              <w:rPr>
                <w:rFonts w:ascii="Garamond" w:hAnsi="Garamond" w:cs="Arial"/>
                <w:b/>
                <w:sz w:val="22"/>
                <w:szCs w:val="22"/>
              </w:rPr>
              <w:t xml:space="preserve"> </w:t>
            </w:r>
            <w:r w:rsidR="00D27CB9" w:rsidRPr="00184EB1">
              <w:rPr>
                <w:rFonts w:ascii="Garamond" w:hAnsi="Garamond" w:cs="Arial"/>
                <w:sz w:val="22"/>
                <w:szCs w:val="22"/>
              </w:rPr>
              <w:t> </w:t>
            </w:r>
            <w:r w:rsidRPr="00647193">
              <w:rPr>
                <w:rFonts w:ascii="Garamond" w:hAnsi="Garamond" w:cs="Arial"/>
                <w:b/>
                <w:sz w:val="22"/>
                <w:szCs w:val="22"/>
              </w:rPr>
              <w:t xml:space="preserve"> </w:t>
            </w:r>
            <w:r w:rsidRPr="00647193">
              <w:rPr>
                <w:rFonts w:ascii="Garamond" w:hAnsi="Garamond" w:cs="Arial"/>
                <w:sz w:val="22"/>
                <w:szCs w:val="22"/>
              </w:rPr>
              <w:t> </w:t>
            </w:r>
          </w:p>
        </w:tc>
      </w:tr>
      <w:tr w:rsidR="0028352F" w:rsidRPr="00647193" w14:paraId="539287E2" w14:textId="77777777" w:rsidTr="0022298F">
        <w:trPr>
          <w:trHeight w:val="848"/>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98DBF9" w14:textId="20198B81" w:rsidR="00D20407" w:rsidRDefault="00D20407" w:rsidP="00D20407">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06209A">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14:paraId="0F099FFE" w14:textId="77777777" w:rsidR="00D27CB9" w:rsidRPr="00D27CB9" w:rsidRDefault="00D27CB9" w:rsidP="00D20407">
            <w:pPr>
              <w:jc w:val="both"/>
              <w:rPr>
                <w:rFonts w:ascii="Garamond" w:hAnsi="Garamond"/>
                <w:sz w:val="14"/>
                <w:szCs w:val="22"/>
              </w:rPr>
            </w:pPr>
          </w:p>
          <w:p w14:paraId="62B67C66" w14:textId="64D0249D" w:rsidR="00D27CB9" w:rsidRPr="00D20407" w:rsidRDefault="00D27CB9" w:rsidP="00D20407">
            <w:pPr>
              <w:jc w:val="both"/>
              <w:rPr>
                <w:rFonts w:ascii="Garamond" w:hAnsi="Garamond"/>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p w14:paraId="2AA69443" w14:textId="77777777" w:rsidR="008A673E" w:rsidRPr="00647193" w:rsidRDefault="008A673E" w:rsidP="004952E3">
            <w:pPr>
              <w:pStyle w:val="Prrafodelista"/>
              <w:jc w:val="both"/>
              <w:rPr>
                <w:rFonts w:ascii="Garamond" w:hAnsi="Garamond" w:cs="Arial"/>
                <w:sz w:val="22"/>
                <w:szCs w:val="22"/>
              </w:rPr>
            </w:pPr>
          </w:p>
        </w:tc>
      </w:tr>
      <w:tr w:rsidR="001F0C28" w:rsidRPr="00647193" w14:paraId="423B7623" w14:textId="3B9D556E" w:rsidTr="001F0C28">
        <w:trPr>
          <w:trHeight w:val="295"/>
        </w:trPr>
        <w:tc>
          <w:tcPr>
            <w:tcW w:w="412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F3E4073" w14:textId="0EC19986" w:rsidR="001F0C28" w:rsidRPr="00D20407" w:rsidRDefault="00D27CB9" w:rsidP="001F0C28">
            <w:pPr>
              <w:jc w:val="center"/>
              <w:rPr>
                <w:rFonts w:ascii="Garamond" w:hAnsi="Garamond"/>
                <w:sz w:val="22"/>
                <w:szCs w:val="22"/>
              </w:rPr>
            </w:pPr>
            <w:r w:rsidRPr="001F0C28">
              <w:rPr>
                <w:rFonts w:ascii="Garamond" w:hAnsi="Garamond"/>
                <w:b/>
                <w:sz w:val="22"/>
                <w:szCs w:val="22"/>
              </w:rPr>
              <w:t>Especificaciones técnicas</w:t>
            </w:r>
          </w:p>
        </w:tc>
        <w:tc>
          <w:tcPr>
            <w:tcW w:w="48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DE33C0C" w14:textId="12A4734E" w:rsidR="001F0C28" w:rsidRPr="00D20407" w:rsidRDefault="00D27CB9" w:rsidP="001F0C28">
            <w:pPr>
              <w:pStyle w:val="Prrafodelista"/>
              <w:jc w:val="center"/>
              <w:rPr>
                <w:rFonts w:ascii="Garamond" w:hAnsi="Garamond"/>
                <w:sz w:val="22"/>
                <w:szCs w:val="22"/>
              </w:rPr>
            </w:pPr>
            <w:r>
              <w:rPr>
                <w:rFonts w:ascii="Garamond" w:hAnsi="Garamond"/>
                <w:b/>
                <w:sz w:val="22"/>
                <w:szCs w:val="22"/>
              </w:rPr>
              <w:t>Medio</w:t>
            </w:r>
            <w:r w:rsidRPr="001F0C28">
              <w:rPr>
                <w:rFonts w:ascii="Garamond" w:hAnsi="Garamond"/>
                <w:b/>
                <w:sz w:val="22"/>
                <w:szCs w:val="22"/>
              </w:rPr>
              <w:t xml:space="preserve"> de verificación</w:t>
            </w:r>
          </w:p>
        </w:tc>
      </w:tr>
      <w:tr w:rsidR="001F0C28" w:rsidRPr="00647193" w14:paraId="14CA6905" w14:textId="2FB77D14" w:rsidTr="001F0C28">
        <w:trPr>
          <w:trHeight w:val="1125"/>
        </w:trPr>
        <w:tc>
          <w:tcPr>
            <w:tcW w:w="41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2F74EA" w14:textId="77777777" w:rsidR="001F0C28" w:rsidRDefault="001F0C28" w:rsidP="001F0C28">
            <w:pPr>
              <w:pStyle w:val="Prrafodelista"/>
              <w:numPr>
                <w:ilvl w:val="0"/>
                <w:numId w:val="16"/>
              </w:numPr>
              <w:suppressAutoHyphens/>
              <w:snapToGrid w:val="0"/>
              <w:ind w:right="72"/>
              <w:jc w:val="both"/>
              <w:rPr>
                <w:rFonts w:ascii="Garamond" w:hAnsi="Garamond" w:cs="Arial"/>
                <w:sz w:val="22"/>
                <w:szCs w:val="22"/>
                <w:lang w:val="es-CO"/>
              </w:rPr>
            </w:pPr>
            <w:r w:rsidRPr="00CB1FAD">
              <w:rPr>
                <w:rFonts w:ascii="Garamond" w:hAnsi="Garamond" w:cs="Arial"/>
                <w:sz w:val="22"/>
                <w:szCs w:val="22"/>
              </w:rPr>
              <w:t xml:space="preserve">Contar con </w:t>
            </w:r>
            <w:r w:rsidRPr="00CB1FAD">
              <w:rPr>
                <w:rFonts w:ascii="Garamond" w:hAnsi="Garamond" w:cs="Arial"/>
                <w:sz w:val="22"/>
                <w:szCs w:val="22"/>
                <w:lang w:val="es-CO"/>
              </w:rPr>
              <w:t>un protocolo de manejo adecuado y disposición final de los residuos sólidos provenientes del mantenimiento de los equipos.</w:t>
            </w:r>
          </w:p>
          <w:p w14:paraId="268D4630" w14:textId="53EEEAAA" w:rsidR="001F0C28" w:rsidRPr="00082FBE" w:rsidRDefault="001F0C28" w:rsidP="001F0C28">
            <w:pPr>
              <w:pStyle w:val="Prrafodelista"/>
              <w:suppressAutoHyphens/>
              <w:snapToGrid w:val="0"/>
              <w:ind w:right="72"/>
              <w:jc w:val="both"/>
              <w:rPr>
                <w:rFonts w:ascii="Garamond" w:hAnsi="Garamond"/>
                <w:b/>
                <w:sz w:val="22"/>
                <w:szCs w:val="22"/>
              </w:rPr>
            </w:pPr>
          </w:p>
        </w:tc>
        <w:tc>
          <w:tcPr>
            <w:tcW w:w="480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EE02B7" w14:textId="77777777" w:rsidR="00D27CB9" w:rsidRDefault="00D27CB9" w:rsidP="00D27CB9">
            <w:pPr>
              <w:jc w:val="both"/>
              <w:rPr>
                <w:rFonts w:ascii="Garamond" w:hAnsi="Garamond"/>
                <w:sz w:val="22"/>
                <w:szCs w:val="22"/>
              </w:rPr>
            </w:pPr>
            <w:r>
              <w:rPr>
                <w:rFonts w:ascii="Garamond" w:hAnsi="Garamond"/>
                <w:sz w:val="22"/>
                <w:szCs w:val="22"/>
              </w:rPr>
              <w:t>Plan de manejo de residuos convencionales y peligrosos avalado por el representante legal de la empresa.</w:t>
            </w:r>
          </w:p>
          <w:p w14:paraId="2D4637EA" w14:textId="04EAF1CA" w:rsidR="001F0C28" w:rsidRPr="001F0C28" w:rsidRDefault="00D27CB9" w:rsidP="00D27CB9">
            <w:pPr>
              <w:jc w:val="both"/>
              <w:rPr>
                <w:rFonts w:ascii="Garamond" w:hAnsi="Garamond"/>
                <w:b/>
                <w:sz w:val="22"/>
                <w:szCs w:val="22"/>
              </w:rPr>
            </w:pPr>
            <w:r>
              <w:rPr>
                <w:rFonts w:ascii="Garamond" w:hAnsi="Garamond"/>
                <w:sz w:val="22"/>
                <w:szCs w:val="22"/>
              </w:rPr>
              <w:t>Certificado de disposición final de los residuos peligrosos generados, el cual es otorgado por el gestor autorizado.</w:t>
            </w:r>
          </w:p>
        </w:tc>
      </w:tr>
      <w:tr w:rsidR="001F0C28" w:rsidRPr="00647193" w14:paraId="213FDA9E" w14:textId="77777777" w:rsidTr="001F0C28">
        <w:trPr>
          <w:trHeight w:val="1425"/>
        </w:trPr>
        <w:tc>
          <w:tcPr>
            <w:tcW w:w="41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E802A1" w14:textId="5F691C91" w:rsidR="001F0C28" w:rsidRPr="00CB1FAD" w:rsidRDefault="001F0C28" w:rsidP="001F0C28">
            <w:pPr>
              <w:pStyle w:val="Prrafodelista"/>
              <w:numPr>
                <w:ilvl w:val="0"/>
                <w:numId w:val="16"/>
              </w:numPr>
              <w:jc w:val="both"/>
              <w:rPr>
                <w:rFonts w:ascii="Garamond" w:hAnsi="Garamond" w:cs="Arial"/>
                <w:sz w:val="22"/>
                <w:szCs w:val="22"/>
              </w:rPr>
            </w:pPr>
            <w:r w:rsidRPr="00CB1FAD">
              <w:rPr>
                <w:rFonts w:ascii="Garamond" w:hAnsi="Garamond" w:cs="Arial"/>
                <w:sz w:val="22"/>
                <w:szCs w:val="22"/>
              </w:rPr>
              <w:t>Los elementos de limpieza empleados para el mantenimiento de equipos eléctricos y electrónicos deberán ser ambientalmente amigables, demostrando estas características con las fichas de cada producto.</w:t>
            </w:r>
          </w:p>
        </w:tc>
        <w:tc>
          <w:tcPr>
            <w:tcW w:w="480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EB9996E" w14:textId="5403D392" w:rsidR="001F0C28" w:rsidRPr="001F0C28" w:rsidRDefault="001F0C28" w:rsidP="001F0C28">
            <w:pPr>
              <w:jc w:val="both"/>
              <w:rPr>
                <w:rFonts w:ascii="Garamond" w:hAnsi="Garamond"/>
                <w:sz w:val="22"/>
                <w:szCs w:val="22"/>
              </w:rPr>
            </w:pPr>
            <w:r>
              <w:rPr>
                <w:rFonts w:ascii="Garamond" w:hAnsi="Garamond"/>
                <w:sz w:val="22"/>
                <w:szCs w:val="22"/>
              </w:rPr>
              <w:t>Ficha técnica de los productos de limpieza</w:t>
            </w:r>
            <w:r w:rsidR="00D27CB9">
              <w:rPr>
                <w:rFonts w:ascii="Garamond" w:hAnsi="Garamond"/>
                <w:sz w:val="22"/>
                <w:szCs w:val="22"/>
              </w:rPr>
              <w:t xml:space="preserve"> empleados en la prestación del servicio.</w:t>
            </w:r>
          </w:p>
        </w:tc>
      </w:tr>
      <w:tr w:rsidR="001F0C28" w:rsidRPr="00647193" w14:paraId="26B53263" w14:textId="77777777" w:rsidTr="001F0C28">
        <w:trPr>
          <w:trHeight w:val="1380"/>
        </w:trPr>
        <w:tc>
          <w:tcPr>
            <w:tcW w:w="41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5A11CA" w14:textId="77777777" w:rsidR="001F0C28" w:rsidRPr="00C017E6" w:rsidRDefault="001F0C28" w:rsidP="001F0C28">
            <w:pPr>
              <w:numPr>
                <w:ilvl w:val="0"/>
                <w:numId w:val="16"/>
              </w:numPr>
              <w:jc w:val="both"/>
              <w:rPr>
                <w:rFonts w:ascii="Garamond" w:hAnsi="Garamond" w:cs="Arial"/>
                <w:sz w:val="22"/>
                <w:szCs w:val="22"/>
              </w:rPr>
            </w:pPr>
            <w:r w:rsidRPr="00C017E6">
              <w:rPr>
                <w:rFonts w:ascii="Garamond" w:hAnsi="Garamond" w:cs="Arial"/>
                <w:sz w:val="22"/>
                <w:szCs w:val="22"/>
              </w:rPr>
              <w:t>Enviar copia de los certificados de afiliación a la Seguridad social del personal técnico que realizará el mantenimiento.</w:t>
            </w:r>
          </w:p>
          <w:p w14:paraId="0D201698" w14:textId="77777777" w:rsidR="001F0C28" w:rsidRPr="00CB1FAD" w:rsidRDefault="001F0C28" w:rsidP="004952E3">
            <w:pPr>
              <w:pStyle w:val="Prrafodelista"/>
              <w:jc w:val="both"/>
              <w:rPr>
                <w:rFonts w:ascii="Garamond" w:hAnsi="Garamond" w:cs="Arial"/>
                <w:sz w:val="22"/>
                <w:szCs w:val="22"/>
              </w:rPr>
            </w:pPr>
          </w:p>
        </w:tc>
        <w:tc>
          <w:tcPr>
            <w:tcW w:w="480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4B046C" w14:textId="1216875D" w:rsidR="00D27CB9" w:rsidRDefault="00D27CB9" w:rsidP="00D27CB9">
            <w:pPr>
              <w:pStyle w:val="Textocomentario"/>
              <w:rPr>
                <w:rFonts w:ascii="Garamond" w:hAnsi="Garamond"/>
                <w:sz w:val="22"/>
                <w:szCs w:val="22"/>
              </w:rPr>
            </w:pPr>
            <w:r>
              <w:rPr>
                <w:rFonts w:ascii="Garamond" w:hAnsi="Garamond"/>
                <w:sz w:val="22"/>
                <w:szCs w:val="22"/>
              </w:rPr>
              <w:t>Declaración juramentada.</w:t>
            </w:r>
          </w:p>
          <w:p w14:paraId="230F8D87" w14:textId="13F5937B" w:rsidR="001F0C28" w:rsidRPr="001F0C28" w:rsidRDefault="00D27CB9" w:rsidP="00D27CB9">
            <w:pPr>
              <w:jc w:val="both"/>
              <w:rPr>
                <w:rFonts w:ascii="Garamond" w:hAnsi="Garamond"/>
                <w:sz w:val="22"/>
                <w:szCs w:val="22"/>
              </w:rPr>
            </w:pPr>
            <w:r>
              <w:rPr>
                <w:rFonts w:ascii="Garamond" w:hAnsi="Garamond"/>
                <w:sz w:val="22"/>
                <w:szCs w:val="22"/>
              </w:rPr>
              <w:t>Pago de prestaciones sociales</w:t>
            </w:r>
          </w:p>
        </w:tc>
      </w:tr>
      <w:tr w:rsidR="001F0C28" w:rsidRPr="00647193" w14:paraId="08BFAACA" w14:textId="06FC49A0" w:rsidTr="001F0C28">
        <w:trPr>
          <w:trHeight w:val="388"/>
        </w:trPr>
        <w:tc>
          <w:tcPr>
            <w:tcW w:w="412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AF864B" w14:textId="18F81F76" w:rsidR="001F0C28" w:rsidRPr="00647193" w:rsidRDefault="00D27CB9" w:rsidP="001F0C28">
            <w:pPr>
              <w:jc w:val="center"/>
              <w:rPr>
                <w:rFonts w:ascii="Garamond" w:hAnsi="Garamond"/>
                <w:sz w:val="22"/>
                <w:szCs w:val="22"/>
              </w:rPr>
            </w:pPr>
            <w:r>
              <w:rPr>
                <w:rFonts w:ascii="Garamond" w:hAnsi="Garamond"/>
                <w:b/>
                <w:sz w:val="22"/>
                <w:szCs w:val="22"/>
              </w:rPr>
              <w:t>Obligaciones especí</w:t>
            </w:r>
            <w:r w:rsidRPr="00647193">
              <w:rPr>
                <w:rFonts w:ascii="Garamond" w:hAnsi="Garamond"/>
                <w:b/>
                <w:sz w:val="22"/>
                <w:szCs w:val="22"/>
              </w:rPr>
              <w:t>ficas</w:t>
            </w:r>
          </w:p>
        </w:tc>
        <w:tc>
          <w:tcPr>
            <w:tcW w:w="480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7A14290" w14:textId="2B10D8C1" w:rsidR="001F0C28" w:rsidRPr="00647193" w:rsidRDefault="00D27CB9" w:rsidP="001F0C28">
            <w:pPr>
              <w:jc w:val="center"/>
              <w:rPr>
                <w:rFonts w:ascii="Garamond" w:hAnsi="Garamond"/>
                <w:sz w:val="22"/>
                <w:szCs w:val="22"/>
              </w:rPr>
            </w:pPr>
            <w:r>
              <w:rPr>
                <w:rFonts w:ascii="Garamond" w:hAnsi="Garamond"/>
                <w:b/>
                <w:sz w:val="22"/>
                <w:szCs w:val="22"/>
              </w:rPr>
              <w:t>Medio</w:t>
            </w:r>
            <w:r w:rsidRPr="001F0C28">
              <w:rPr>
                <w:rFonts w:ascii="Garamond" w:hAnsi="Garamond"/>
                <w:b/>
                <w:sz w:val="22"/>
                <w:szCs w:val="22"/>
              </w:rPr>
              <w:t xml:space="preserve"> de verificación</w:t>
            </w:r>
          </w:p>
        </w:tc>
      </w:tr>
      <w:tr w:rsidR="001F0C28" w:rsidRPr="00647193" w14:paraId="442BFFC1" w14:textId="5DF3FA2F" w:rsidTr="001F0C28">
        <w:trPr>
          <w:trHeight w:val="2595"/>
        </w:trPr>
        <w:tc>
          <w:tcPr>
            <w:tcW w:w="41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3B939F" w14:textId="68C39599" w:rsidR="001F0C28" w:rsidRPr="00531234" w:rsidRDefault="001F0C28" w:rsidP="001F0C28">
            <w:pPr>
              <w:numPr>
                <w:ilvl w:val="0"/>
                <w:numId w:val="14"/>
              </w:numPr>
              <w:jc w:val="both"/>
              <w:rPr>
                <w:rFonts w:ascii="Garamond" w:hAnsi="Garamond" w:cs="Arial"/>
                <w:sz w:val="22"/>
                <w:szCs w:val="22"/>
              </w:rPr>
            </w:pPr>
            <w:r w:rsidRPr="00654B65">
              <w:rPr>
                <w:rFonts w:ascii="Garamond" w:hAnsi="Garamond"/>
                <w:sz w:val="22"/>
                <w:szCs w:val="22"/>
              </w:rPr>
              <w:t>Cuando exista cambio de partes que sean consideradas como residuos de aparatos eléctricos y electrónicos –RAEE-</w:t>
            </w:r>
            <w:r w:rsidR="0043342F">
              <w:rPr>
                <w:rFonts w:ascii="Garamond" w:hAnsi="Garamond"/>
                <w:sz w:val="22"/>
                <w:szCs w:val="22"/>
              </w:rPr>
              <w:t xml:space="preserve"> o residuos peligrosos</w:t>
            </w:r>
            <w:r w:rsidRPr="00654B65">
              <w:rPr>
                <w:rFonts w:ascii="Garamond" w:hAnsi="Garamond"/>
                <w:sz w:val="22"/>
                <w:szCs w:val="22"/>
              </w:rPr>
              <w:t xml:space="preserve">. Deberá garantizar que las partes cambiadas sean gestionadas por un gestor autorizado. Por lo tanto, deberá entregar a la Secretaría Distrital de Gobierno / Alcaldía Local, </w:t>
            </w:r>
            <w:r w:rsidRPr="00654B65">
              <w:rPr>
                <w:rFonts w:ascii="Garamond" w:hAnsi="Garamond" w:cs="Arial"/>
                <w:sz w:val="22"/>
                <w:szCs w:val="22"/>
                <w:lang w:val="es-CO"/>
              </w:rPr>
              <w:t>copia del manifiesto de recolección, transporte y certificado otorgado por disposición final de estos residuos</w:t>
            </w:r>
            <w:r>
              <w:rPr>
                <w:rFonts w:ascii="Garamond" w:hAnsi="Garamond" w:cs="Arial"/>
                <w:sz w:val="22"/>
                <w:szCs w:val="22"/>
                <w:lang w:val="es-CO"/>
              </w:rPr>
              <w:t>.</w:t>
            </w:r>
          </w:p>
          <w:p w14:paraId="015F682C" w14:textId="77777777" w:rsidR="001F0C28" w:rsidRDefault="001F0C28" w:rsidP="001F0C28">
            <w:pPr>
              <w:ind w:left="720"/>
              <w:jc w:val="both"/>
              <w:rPr>
                <w:rFonts w:ascii="Garamond" w:hAnsi="Garamond"/>
                <w:b/>
                <w:sz w:val="22"/>
                <w:szCs w:val="22"/>
              </w:rPr>
            </w:pPr>
          </w:p>
        </w:tc>
        <w:tc>
          <w:tcPr>
            <w:tcW w:w="480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D1BAA8" w14:textId="05BA860B" w:rsidR="001F0C28" w:rsidRDefault="002E39F4" w:rsidP="001F0C28">
            <w:pPr>
              <w:jc w:val="both"/>
              <w:rPr>
                <w:rFonts w:ascii="Garamond" w:hAnsi="Garamond"/>
                <w:b/>
                <w:sz w:val="22"/>
                <w:szCs w:val="22"/>
              </w:rPr>
            </w:pPr>
            <w:r>
              <w:rPr>
                <w:rFonts w:ascii="Garamond" w:hAnsi="Garamond" w:cs="Arial"/>
                <w:sz w:val="22"/>
                <w:szCs w:val="22"/>
                <w:lang w:val="es-CO"/>
              </w:rPr>
              <w:t>Certificado</w:t>
            </w:r>
            <w:r w:rsidR="001F0C28">
              <w:rPr>
                <w:rFonts w:ascii="Garamond" w:hAnsi="Garamond" w:cs="Arial"/>
                <w:sz w:val="22"/>
                <w:szCs w:val="22"/>
                <w:lang w:val="es-CO"/>
              </w:rPr>
              <w:t xml:space="preserve"> de disposición final de los residuos de aparatos eléctricos y electrónicos –</w:t>
            </w:r>
            <w:r>
              <w:rPr>
                <w:rFonts w:ascii="Garamond" w:hAnsi="Garamond" w:cs="Arial"/>
                <w:sz w:val="22"/>
                <w:szCs w:val="22"/>
                <w:lang w:val="es-CO"/>
              </w:rPr>
              <w:t xml:space="preserve"> RAEE</w:t>
            </w:r>
            <w:r w:rsidR="0043342F">
              <w:rPr>
                <w:rFonts w:ascii="Garamond" w:hAnsi="Garamond" w:cs="Arial"/>
                <w:sz w:val="22"/>
                <w:szCs w:val="22"/>
                <w:lang w:val="es-CO"/>
              </w:rPr>
              <w:t xml:space="preserve"> o peligrosos generados</w:t>
            </w:r>
            <w:r w:rsidR="00EB0A5C">
              <w:rPr>
                <w:rFonts w:ascii="Garamond" w:hAnsi="Garamond" w:cs="Arial"/>
                <w:sz w:val="22"/>
                <w:szCs w:val="22"/>
                <w:lang w:val="es-CO"/>
              </w:rPr>
              <w:t xml:space="preserve"> durante la pres</w:t>
            </w:r>
            <w:r w:rsidR="00BA5056">
              <w:rPr>
                <w:rFonts w:ascii="Garamond" w:hAnsi="Garamond" w:cs="Arial"/>
                <w:sz w:val="22"/>
                <w:szCs w:val="22"/>
                <w:lang w:val="es-CO"/>
              </w:rPr>
              <w:t>tación del servicio,</w:t>
            </w:r>
            <w:r>
              <w:rPr>
                <w:rFonts w:ascii="Garamond" w:hAnsi="Garamond" w:cs="Arial"/>
                <w:sz w:val="22"/>
                <w:szCs w:val="22"/>
                <w:lang w:val="es-CO"/>
              </w:rPr>
              <w:t xml:space="preserve"> el cual</w:t>
            </w:r>
            <w:r w:rsidR="005D6724">
              <w:rPr>
                <w:rFonts w:ascii="Garamond" w:hAnsi="Garamond" w:cs="Arial"/>
                <w:sz w:val="22"/>
                <w:szCs w:val="22"/>
                <w:lang w:val="es-CO"/>
              </w:rPr>
              <w:t xml:space="preserve"> </w:t>
            </w:r>
            <w:r>
              <w:rPr>
                <w:rFonts w:ascii="Garamond" w:hAnsi="Garamond" w:cs="Arial"/>
                <w:sz w:val="22"/>
                <w:szCs w:val="22"/>
                <w:lang w:val="es-CO"/>
              </w:rPr>
              <w:t>es otorgado</w:t>
            </w:r>
            <w:r w:rsidR="005D6724">
              <w:rPr>
                <w:rFonts w:ascii="Garamond" w:hAnsi="Garamond" w:cs="Arial"/>
                <w:sz w:val="22"/>
                <w:szCs w:val="22"/>
                <w:lang w:val="es-CO"/>
              </w:rPr>
              <w:t xml:space="preserve"> por el gestor autorizado.</w:t>
            </w:r>
            <w:r w:rsidR="001F0C28">
              <w:rPr>
                <w:rFonts w:ascii="Garamond" w:hAnsi="Garamond" w:cs="Arial"/>
                <w:sz w:val="22"/>
                <w:szCs w:val="22"/>
                <w:lang w:val="es-CO"/>
              </w:rPr>
              <w:t xml:space="preserve"> </w:t>
            </w:r>
          </w:p>
        </w:tc>
      </w:tr>
    </w:tbl>
    <w:p w14:paraId="3C07BC0F" w14:textId="77777777" w:rsidR="0028352F" w:rsidRPr="00DF07CC" w:rsidRDefault="0028352F" w:rsidP="0028352F">
      <w:pPr>
        <w:rPr>
          <w:rFonts w:ascii="Garamond" w:hAnsi="Garamond"/>
          <w:sz w:val="22"/>
          <w:szCs w:val="22"/>
        </w:rPr>
      </w:pPr>
    </w:p>
    <w:p w14:paraId="0FC65987" w14:textId="0553A31A" w:rsidR="0028352F" w:rsidRDefault="0028352F" w:rsidP="0028352F">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14:paraId="1E97A385" w14:textId="77777777" w:rsidR="00D27CB9" w:rsidRPr="006816B0" w:rsidRDefault="00D27CB9" w:rsidP="00D27CB9">
      <w:pPr>
        <w:jc w:val="both"/>
        <w:rPr>
          <w:rFonts w:ascii="Garamond" w:hAnsi="Garamond"/>
          <w:sz w:val="22"/>
          <w:szCs w:val="22"/>
        </w:rPr>
      </w:pPr>
      <w:bookmarkStart w:id="1" w:name="_Hlk509322096"/>
      <w:r>
        <w:rPr>
          <w:rFonts w:ascii="Garamond" w:hAnsi="Garamond"/>
          <w:sz w:val="22"/>
          <w:szCs w:val="22"/>
        </w:rPr>
        <w:t>Medios de verificación documental: tales como carta del representante legal (donde prima el principio de la buena fe), certificaciones o descripciones que emite el fabricante o el propio oferente tales como fichas técnicas.</w:t>
      </w:r>
      <w:bookmarkEnd w:id="1"/>
    </w:p>
    <w:p w14:paraId="74A4C547" w14:textId="77777777" w:rsidR="00D27CB9" w:rsidRDefault="00D27CB9" w:rsidP="0028352F">
      <w:pPr>
        <w:jc w:val="both"/>
        <w:rPr>
          <w:rFonts w:ascii="Garamond" w:hAnsi="Garamond"/>
          <w:sz w:val="22"/>
          <w:szCs w:val="22"/>
        </w:rPr>
      </w:pPr>
    </w:p>
    <w:p w14:paraId="47654DDC" w14:textId="77777777" w:rsidR="0028352F" w:rsidRDefault="0028352F" w:rsidP="0028352F">
      <w:pPr>
        <w:rPr>
          <w:rFonts w:ascii="Garamond" w:hAnsi="Garamond"/>
          <w:sz w:val="22"/>
          <w:szCs w:val="22"/>
        </w:rPr>
      </w:pPr>
    </w:p>
    <w:p w14:paraId="1468C525" w14:textId="77777777" w:rsidR="00446869" w:rsidRDefault="00446869"/>
    <w:sectPr w:rsidR="00446869" w:rsidSect="00661565">
      <w:headerReference w:type="default" r:id="rId11"/>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06123" w14:textId="77777777" w:rsidR="005C7B59" w:rsidRDefault="005C7B59" w:rsidP="00661565">
      <w:r>
        <w:separator/>
      </w:r>
    </w:p>
  </w:endnote>
  <w:endnote w:type="continuationSeparator" w:id="0">
    <w:p w14:paraId="6500BF2C" w14:textId="77777777" w:rsidR="005C7B59" w:rsidRDefault="005C7B59"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85052" w14:textId="77777777" w:rsidR="005C7B59" w:rsidRDefault="005C7B59" w:rsidP="00661565">
      <w:r>
        <w:separator/>
      </w:r>
    </w:p>
  </w:footnote>
  <w:footnote w:type="continuationSeparator" w:id="0">
    <w:p w14:paraId="29F2BEB5" w14:textId="77777777" w:rsidR="005C7B59" w:rsidRDefault="005C7B59"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F91A" w14:textId="0427084B" w:rsidR="00661565" w:rsidRDefault="0033089C">
    <w:pPr>
      <w:pStyle w:val="Encabezado"/>
    </w:pPr>
    <w:r>
      <w:rPr>
        <w:noProof/>
        <w:lang w:val="es-CO" w:eastAsia="es-CO"/>
      </w:rPr>
      <mc:AlternateContent>
        <mc:Choice Requires="wpg">
          <w:drawing>
            <wp:anchor distT="0" distB="0" distL="114300" distR="114300" simplePos="0" relativeHeight="251658240" behindDoc="0" locked="0" layoutInCell="0" allowOverlap="1" wp14:anchorId="591003E6" wp14:editId="50345ED6">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56727B33"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281FE7BC" w14:textId="28639F1E" w:rsidR="00661565" w:rsidRDefault="00771512"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7 V </w:t>
                                </w:r>
                                <w:r w:rsidR="007022D1">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FA7E16">
                                  <w:rPr>
                                    <w:rFonts w:ascii="Garamond" w:hAnsi="Garamond" w:cs="Arial"/>
                                    <w:b/>
                                    <w:color w:val="000080"/>
                                    <w:sz w:val="22"/>
                                    <w:szCs w:val="22"/>
                                    <w:lang w:val="es-CO"/>
                                  </w:rPr>
                                  <w:t xml:space="preserve">Vigencia: </w:t>
                                </w:r>
                                <w:r w:rsidR="00364BA5">
                                  <w:rPr>
                                    <w:rFonts w:ascii="Garamond" w:hAnsi="Garamond" w:cs="Arial"/>
                                    <w:b/>
                                    <w:color w:val="000080"/>
                                    <w:sz w:val="22"/>
                                    <w:szCs w:val="22"/>
                                    <w:lang w:val="es-CO"/>
                                  </w:rPr>
                                  <w:t>06</w:t>
                                </w:r>
                                <w:r w:rsidRPr="00FA7E16">
                                  <w:rPr>
                                    <w:rFonts w:ascii="Garamond" w:hAnsi="Garamond" w:cs="Arial"/>
                                    <w:b/>
                                    <w:color w:val="000080"/>
                                    <w:sz w:val="22"/>
                                    <w:szCs w:val="22"/>
                                    <w:lang w:val="es-CO"/>
                                  </w:rPr>
                                  <w:t xml:space="preserve"> de </w:t>
                                </w:r>
                                <w:r w:rsidR="00364BA5">
                                  <w:rPr>
                                    <w:rFonts w:ascii="Garamond" w:hAnsi="Garamond" w:cs="Arial"/>
                                    <w:b/>
                                    <w:color w:val="000080"/>
                                    <w:sz w:val="22"/>
                                    <w:szCs w:val="22"/>
                                    <w:lang w:val="es-CO"/>
                                  </w:rPr>
                                  <w:t xml:space="preserve">julio </w:t>
                                </w:r>
                                <w:r w:rsidRPr="00FA7E16">
                                  <w:rPr>
                                    <w:rFonts w:ascii="Garamond" w:hAnsi="Garamond" w:cs="Arial"/>
                                    <w:b/>
                                    <w:color w:val="000080"/>
                                    <w:sz w:val="22"/>
                                    <w:szCs w:val="22"/>
                                    <w:lang w:val="es-CO"/>
                                  </w:rPr>
                                  <w:t>de 201</w:t>
                                </w:r>
                                <w:r w:rsidR="007022D1">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91003E6"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T1g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d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56727B33" w14:textId="7777777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281FE7BC" w14:textId="28639F1E" w:rsidR="00661565" w:rsidRDefault="00771512"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7 V </w:t>
                          </w:r>
                          <w:r w:rsidR="007022D1">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FA7E16">
                            <w:rPr>
                              <w:rFonts w:ascii="Garamond" w:hAnsi="Garamond" w:cs="Arial"/>
                              <w:b/>
                              <w:color w:val="000080"/>
                              <w:sz w:val="22"/>
                              <w:szCs w:val="22"/>
                              <w:lang w:val="es-CO"/>
                            </w:rPr>
                            <w:t xml:space="preserve">Vigencia: </w:t>
                          </w:r>
                          <w:r w:rsidR="00364BA5">
                            <w:rPr>
                              <w:rFonts w:ascii="Garamond" w:hAnsi="Garamond" w:cs="Arial"/>
                              <w:b/>
                              <w:color w:val="000080"/>
                              <w:sz w:val="22"/>
                              <w:szCs w:val="22"/>
                              <w:lang w:val="es-CO"/>
                            </w:rPr>
                            <w:t>06</w:t>
                          </w:r>
                          <w:r w:rsidRPr="00FA7E16">
                            <w:rPr>
                              <w:rFonts w:ascii="Garamond" w:hAnsi="Garamond" w:cs="Arial"/>
                              <w:b/>
                              <w:color w:val="000080"/>
                              <w:sz w:val="22"/>
                              <w:szCs w:val="22"/>
                              <w:lang w:val="es-CO"/>
                            </w:rPr>
                            <w:t xml:space="preserve"> de </w:t>
                          </w:r>
                          <w:r w:rsidR="00364BA5">
                            <w:rPr>
                              <w:rFonts w:ascii="Garamond" w:hAnsi="Garamond" w:cs="Arial"/>
                              <w:b/>
                              <w:color w:val="000080"/>
                              <w:sz w:val="22"/>
                              <w:szCs w:val="22"/>
                              <w:lang w:val="es-CO"/>
                            </w:rPr>
                            <w:t xml:space="preserve">julio </w:t>
                          </w:r>
                          <w:r w:rsidRPr="00FA7E16">
                            <w:rPr>
                              <w:rFonts w:ascii="Garamond" w:hAnsi="Garamond" w:cs="Arial"/>
                              <w:b/>
                              <w:color w:val="000080"/>
                              <w:sz w:val="22"/>
                              <w:szCs w:val="22"/>
                              <w:lang w:val="es-CO"/>
                            </w:rPr>
                            <w:t>de 201</w:t>
                          </w:r>
                          <w:r w:rsidR="007022D1">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1"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0B460A0"/>
    <w:multiLevelType w:val="hybridMultilevel"/>
    <w:tmpl w:val="435A62AA"/>
    <w:lvl w:ilvl="0" w:tplc="445E296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A815EF3"/>
    <w:multiLevelType w:val="hybridMultilevel"/>
    <w:tmpl w:val="CB2E484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6ACC6F1D"/>
    <w:multiLevelType w:val="hybridMultilevel"/>
    <w:tmpl w:val="C1FC7E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79B15185"/>
    <w:multiLevelType w:val="hybridMultilevel"/>
    <w:tmpl w:val="EAE4B2D0"/>
    <w:lvl w:ilvl="0" w:tplc="F354824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12"/>
  </w:num>
  <w:num w:numId="3">
    <w:abstractNumId w:val="13"/>
  </w:num>
  <w:num w:numId="4">
    <w:abstractNumId w:val="5"/>
  </w:num>
  <w:num w:numId="5">
    <w:abstractNumId w:val="9"/>
  </w:num>
  <w:num w:numId="6">
    <w:abstractNumId w:val="14"/>
  </w:num>
  <w:num w:numId="7">
    <w:abstractNumId w:val="0"/>
  </w:num>
  <w:num w:numId="8">
    <w:abstractNumId w:val="10"/>
  </w:num>
  <w:num w:numId="9">
    <w:abstractNumId w:val="2"/>
  </w:num>
  <w:num w:numId="10">
    <w:abstractNumId w:val="6"/>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15"/>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210A2"/>
    <w:rsid w:val="00035330"/>
    <w:rsid w:val="0006209A"/>
    <w:rsid w:val="00074E18"/>
    <w:rsid w:val="00082FBE"/>
    <w:rsid w:val="00087059"/>
    <w:rsid w:val="000A05BE"/>
    <w:rsid w:val="00150D31"/>
    <w:rsid w:val="001576F9"/>
    <w:rsid w:val="00185241"/>
    <w:rsid w:val="001852A0"/>
    <w:rsid w:val="00196245"/>
    <w:rsid w:val="0019786A"/>
    <w:rsid w:val="001E24EC"/>
    <w:rsid w:val="001E4CB9"/>
    <w:rsid w:val="001F0C28"/>
    <w:rsid w:val="001F1AD4"/>
    <w:rsid w:val="00205E49"/>
    <w:rsid w:val="002124F9"/>
    <w:rsid w:val="0022298F"/>
    <w:rsid w:val="00234144"/>
    <w:rsid w:val="00250A21"/>
    <w:rsid w:val="00255888"/>
    <w:rsid w:val="0028352F"/>
    <w:rsid w:val="00285A54"/>
    <w:rsid w:val="00286EEE"/>
    <w:rsid w:val="002C6463"/>
    <w:rsid w:val="002E39F4"/>
    <w:rsid w:val="003225FF"/>
    <w:rsid w:val="00323716"/>
    <w:rsid w:val="0033089C"/>
    <w:rsid w:val="00346E62"/>
    <w:rsid w:val="00364BA5"/>
    <w:rsid w:val="00382BD9"/>
    <w:rsid w:val="00423D1A"/>
    <w:rsid w:val="00430F33"/>
    <w:rsid w:val="0043342F"/>
    <w:rsid w:val="00446373"/>
    <w:rsid w:val="00446869"/>
    <w:rsid w:val="004538BB"/>
    <w:rsid w:val="00480B7F"/>
    <w:rsid w:val="004952E3"/>
    <w:rsid w:val="004B0C6D"/>
    <w:rsid w:val="004C501A"/>
    <w:rsid w:val="004D5FE3"/>
    <w:rsid w:val="00507B0A"/>
    <w:rsid w:val="00514016"/>
    <w:rsid w:val="00515420"/>
    <w:rsid w:val="00526413"/>
    <w:rsid w:val="00531234"/>
    <w:rsid w:val="00541592"/>
    <w:rsid w:val="00547436"/>
    <w:rsid w:val="00552B6A"/>
    <w:rsid w:val="005752B0"/>
    <w:rsid w:val="00582630"/>
    <w:rsid w:val="00583066"/>
    <w:rsid w:val="00584EF2"/>
    <w:rsid w:val="00596DB8"/>
    <w:rsid w:val="005B108F"/>
    <w:rsid w:val="005C351A"/>
    <w:rsid w:val="005C7B59"/>
    <w:rsid w:val="005D232C"/>
    <w:rsid w:val="005D6724"/>
    <w:rsid w:val="005F57A6"/>
    <w:rsid w:val="006028F9"/>
    <w:rsid w:val="00615759"/>
    <w:rsid w:val="00644D65"/>
    <w:rsid w:val="00647193"/>
    <w:rsid w:val="00654B65"/>
    <w:rsid w:val="00661565"/>
    <w:rsid w:val="00664130"/>
    <w:rsid w:val="006953DE"/>
    <w:rsid w:val="007022D1"/>
    <w:rsid w:val="007341D6"/>
    <w:rsid w:val="007525E1"/>
    <w:rsid w:val="00753FA2"/>
    <w:rsid w:val="007571ED"/>
    <w:rsid w:val="00761C54"/>
    <w:rsid w:val="00771512"/>
    <w:rsid w:val="00772F54"/>
    <w:rsid w:val="007A01A1"/>
    <w:rsid w:val="007E2978"/>
    <w:rsid w:val="00806F80"/>
    <w:rsid w:val="00831BC6"/>
    <w:rsid w:val="00866D7A"/>
    <w:rsid w:val="00874DE2"/>
    <w:rsid w:val="0088468E"/>
    <w:rsid w:val="008A673E"/>
    <w:rsid w:val="008B1396"/>
    <w:rsid w:val="008E0B52"/>
    <w:rsid w:val="008E442D"/>
    <w:rsid w:val="008E4684"/>
    <w:rsid w:val="008F7F80"/>
    <w:rsid w:val="00902FC2"/>
    <w:rsid w:val="00903279"/>
    <w:rsid w:val="00907525"/>
    <w:rsid w:val="009101A3"/>
    <w:rsid w:val="009478F5"/>
    <w:rsid w:val="0097335C"/>
    <w:rsid w:val="009952AA"/>
    <w:rsid w:val="009F34FA"/>
    <w:rsid w:val="00A0087D"/>
    <w:rsid w:val="00A2526E"/>
    <w:rsid w:val="00A34971"/>
    <w:rsid w:val="00A839A1"/>
    <w:rsid w:val="00AA4DAD"/>
    <w:rsid w:val="00AB30A3"/>
    <w:rsid w:val="00AC3A33"/>
    <w:rsid w:val="00AC7928"/>
    <w:rsid w:val="00AE4EF9"/>
    <w:rsid w:val="00AE567F"/>
    <w:rsid w:val="00AF2F55"/>
    <w:rsid w:val="00AF4D74"/>
    <w:rsid w:val="00B14969"/>
    <w:rsid w:val="00B20816"/>
    <w:rsid w:val="00B23514"/>
    <w:rsid w:val="00B50CC3"/>
    <w:rsid w:val="00B62885"/>
    <w:rsid w:val="00BA0008"/>
    <w:rsid w:val="00BA5056"/>
    <w:rsid w:val="00BC4657"/>
    <w:rsid w:val="00C017E6"/>
    <w:rsid w:val="00C12EF6"/>
    <w:rsid w:val="00C15CD7"/>
    <w:rsid w:val="00C47DBB"/>
    <w:rsid w:val="00C50ED9"/>
    <w:rsid w:val="00C533DE"/>
    <w:rsid w:val="00C71846"/>
    <w:rsid w:val="00CB1FAD"/>
    <w:rsid w:val="00CC0BAD"/>
    <w:rsid w:val="00D20407"/>
    <w:rsid w:val="00D27CB9"/>
    <w:rsid w:val="00D339F0"/>
    <w:rsid w:val="00D5562F"/>
    <w:rsid w:val="00DE46C3"/>
    <w:rsid w:val="00E80D23"/>
    <w:rsid w:val="00E8314C"/>
    <w:rsid w:val="00E9717F"/>
    <w:rsid w:val="00EB0A5C"/>
    <w:rsid w:val="00ED7969"/>
    <w:rsid w:val="00EF4B42"/>
    <w:rsid w:val="00F3040B"/>
    <w:rsid w:val="00F37AC7"/>
    <w:rsid w:val="00F43E2C"/>
    <w:rsid w:val="00F6085D"/>
    <w:rsid w:val="00F61352"/>
    <w:rsid w:val="00F84F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B3D5"/>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semiHidden/>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semiHidden/>
    <w:rsid w:val="004952E3"/>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150D31"/>
    <w:rPr>
      <w:sz w:val="16"/>
      <w:szCs w:val="16"/>
    </w:rPr>
  </w:style>
  <w:style w:type="paragraph" w:styleId="Asuntodelcomentario">
    <w:name w:val="annotation subject"/>
    <w:basedOn w:val="Textocomentario"/>
    <w:next w:val="Textocomentario"/>
    <w:link w:val="AsuntodelcomentarioCar"/>
    <w:uiPriority w:val="99"/>
    <w:semiHidden/>
    <w:unhideWhenUsed/>
    <w:rsid w:val="00150D31"/>
    <w:rPr>
      <w:b/>
      <w:bCs/>
    </w:rPr>
  </w:style>
  <w:style w:type="character" w:customStyle="1" w:styleId="AsuntodelcomentarioCar">
    <w:name w:val="Asunto del comentario Car"/>
    <w:basedOn w:val="TextocomentarioCar"/>
    <w:link w:val="Asuntodelcomentario"/>
    <w:uiPriority w:val="99"/>
    <w:semiHidden/>
    <w:rsid w:val="00150D31"/>
    <w:rPr>
      <w:rFonts w:ascii="Times New Roman" w:eastAsia="Times New Roman" w:hAnsi="Times New Roman" w:cs="Times New Roman"/>
      <w:b/>
      <w:bCs/>
      <w:sz w:val="20"/>
      <w:szCs w:val="20"/>
      <w:lang w:val="es-ES_tradnl" w:eastAsia="es-ES"/>
    </w:rPr>
  </w:style>
  <w:style w:type="paragraph" w:styleId="NormalWeb">
    <w:name w:val="Normal (Web)"/>
    <w:basedOn w:val="Normal"/>
    <w:uiPriority w:val="99"/>
    <w:semiHidden/>
    <w:unhideWhenUsed/>
    <w:rsid w:val="00150D31"/>
    <w:pPr>
      <w:spacing w:before="100" w:beforeAutospacing="1" w:after="100" w:afterAutospacing="1"/>
    </w:pPr>
    <w:rPr>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19590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027BB0"/>
    <w:rsid w:val="000A54A0"/>
    <w:rsid w:val="002A2FA8"/>
    <w:rsid w:val="00307BA3"/>
    <w:rsid w:val="00460A99"/>
    <w:rsid w:val="0059174A"/>
    <w:rsid w:val="005C1413"/>
    <w:rsid w:val="00722710"/>
    <w:rsid w:val="00775C5B"/>
    <w:rsid w:val="007A2812"/>
    <w:rsid w:val="00856323"/>
    <w:rsid w:val="008D2656"/>
    <w:rsid w:val="009F465F"/>
    <w:rsid w:val="00AB11A3"/>
    <w:rsid w:val="00AE5FF1"/>
    <w:rsid w:val="00B52F2D"/>
    <w:rsid w:val="00C03574"/>
    <w:rsid w:val="00D009E6"/>
    <w:rsid w:val="00D84CE2"/>
    <w:rsid w:val="00D9594A"/>
    <w:rsid w:val="00DC7F34"/>
    <w:rsid w:val="00DE0615"/>
    <w:rsid w:val="00EF0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Ficha – 7 V 3.0 Vigencia: 06 de julio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67E214-718C-44A1-A155-4689916C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FICHA SOTENIBLE DE CONTRATACIÓN</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SOTENIBLE DE CONTRATACIÓN</dc:title>
  <dc:subject/>
  <dc:creator>Claudia.Villalobos</dc:creator>
  <cp:keywords/>
  <dc:description/>
  <cp:lastModifiedBy>Daniel Alejandro Rubiano Sosa</cp:lastModifiedBy>
  <cp:revision>3</cp:revision>
  <dcterms:created xsi:type="dcterms:W3CDTF">2018-04-16T21:00:00Z</dcterms:created>
  <dcterms:modified xsi:type="dcterms:W3CDTF">2018-07-05T20:34:00Z</dcterms:modified>
</cp:coreProperties>
</file>